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7AD" w:rsidRDefault="003C58AD" w:rsidP="00F06D4A">
      <w:pPr>
        <w:pStyle w:val="Title"/>
        <w:spacing w:after="0"/>
      </w:pPr>
      <w:bookmarkStart w:id="0" w:name="_GoBack"/>
      <w:bookmarkEnd w:id="0"/>
      <w:r>
        <w:rPr>
          <w:noProof/>
        </w:rPr>
        <w:drawing>
          <wp:anchor distT="0" distB="0" distL="114300" distR="114300" simplePos="0" relativeHeight="251658240" behindDoc="0" locked="0" layoutInCell="1" allowOverlap="1" wp14:anchorId="0FD64F6D" wp14:editId="2BB1C25E">
            <wp:simplePos x="0" y="0"/>
            <wp:positionH relativeFrom="margin">
              <wp:posOffset>66675</wp:posOffset>
            </wp:positionH>
            <wp:positionV relativeFrom="margin">
              <wp:posOffset>-135255</wp:posOffset>
            </wp:positionV>
            <wp:extent cx="1057910" cy="82296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E Full Colo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910" cy="822960"/>
                    </a:xfrm>
                    <a:prstGeom prst="rect">
                      <a:avLst/>
                    </a:prstGeom>
                  </pic:spPr>
                </pic:pic>
              </a:graphicData>
            </a:graphic>
            <wp14:sizeRelH relativeFrom="margin">
              <wp14:pctWidth>0</wp14:pctWidth>
            </wp14:sizeRelH>
            <wp14:sizeRelV relativeFrom="margin">
              <wp14:pctHeight>0</wp14:pctHeight>
            </wp14:sizeRelV>
          </wp:anchor>
        </w:drawing>
      </w:r>
      <w:r w:rsidR="00B907AD">
        <w:t>Kansas Alignment to Rose Standards</w:t>
      </w:r>
    </w:p>
    <w:p w:rsidR="00F06D4A" w:rsidRPr="00F06D4A" w:rsidRDefault="00F06D4A" w:rsidP="00F06D4A">
      <w:r>
        <w:t>Division of Learning Services, Kansas State Department of Education</w:t>
      </w:r>
    </w:p>
    <w:tbl>
      <w:tblPr>
        <w:tblW w:w="13176" w:type="dxa"/>
        <w:tblBorders>
          <w:insideH w:val="single" w:sz="8" w:space="0" w:color="304356" w:themeColor="accent6" w:themeShade="80"/>
        </w:tblBorders>
        <w:tblLook w:val="04A0" w:firstRow="1" w:lastRow="0" w:firstColumn="1" w:lastColumn="0" w:noHBand="0" w:noVBand="1"/>
      </w:tblPr>
      <w:tblGrid>
        <w:gridCol w:w="2696"/>
        <w:gridCol w:w="2720"/>
        <w:gridCol w:w="2764"/>
        <w:gridCol w:w="2726"/>
        <w:gridCol w:w="2270"/>
      </w:tblGrid>
      <w:tr w:rsidR="00BF7D0E" w:rsidRPr="00F06D4A" w:rsidTr="00BA2182">
        <w:trPr>
          <w:cantSplit/>
          <w:tblHeader/>
        </w:trPr>
        <w:tc>
          <w:tcPr>
            <w:tcW w:w="2696" w:type="dxa"/>
            <w:tcBorders>
              <w:top w:val="nil"/>
              <w:bottom w:val="single" w:sz="12" w:space="0" w:color="FFFFFF" w:themeColor="background1"/>
            </w:tcBorders>
            <w:shd w:val="clear" w:color="auto" w:fill="476480" w:themeFill="accent6" w:themeFillShade="BF"/>
            <w:vAlign w:val="bottom"/>
          </w:tcPr>
          <w:p w:rsidR="00BF7D0E" w:rsidRPr="003C58AD" w:rsidRDefault="00BF7D0E" w:rsidP="00F06D4A">
            <w:pPr>
              <w:spacing w:after="0" w:line="240" w:lineRule="auto"/>
              <w:rPr>
                <w:color w:val="FFFFFF" w:themeColor="background1"/>
                <w:sz w:val="24"/>
              </w:rPr>
            </w:pPr>
            <w:r w:rsidRPr="003C58AD">
              <w:rPr>
                <w:color w:val="FFFFFF" w:themeColor="background1"/>
                <w:sz w:val="24"/>
              </w:rPr>
              <w:t>Rose Standards</w:t>
            </w:r>
          </w:p>
        </w:tc>
        <w:tc>
          <w:tcPr>
            <w:tcW w:w="2720" w:type="dxa"/>
            <w:tcBorders>
              <w:top w:val="nil"/>
              <w:bottom w:val="single" w:sz="12" w:space="0" w:color="304356" w:themeColor="accent6" w:themeShade="80"/>
            </w:tcBorders>
            <w:shd w:val="clear" w:color="auto" w:fill="auto"/>
            <w:vAlign w:val="bottom"/>
          </w:tcPr>
          <w:p w:rsidR="00BF7D0E" w:rsidRPr="003C58AD" w:rsidRDefault="00BF7D0E" w:rsidP="00F06D4A">
            <w:pPr>
              <w:spacing w:after="0" w:line="240" w:lineRule="auto"/>
              <w:rPr>
                <w:sz w:val="24"/>
              </w:rPr>
            </w:pPr>
            <w:r w:rsidRPr="003C58AD">
              <w:rPr>
                <w:sz w:val="24"/>
              </w:rPr>
              <w:t>Kansas College and Career Ready Employability Skills</w:t>
            </w:r>
          </w:p>
        </w:tc>
        <w:tc>
          <w:tcPr>
            <w:tcW w:w="2764" w:type="dxa"/>
            <w:tcBorders>
              <w:top w:val="nil"/>
              <w:bottom w:val="single" w:sz="12" w:space="0" w:color="304356" w:themeColor="accent6" w:themeShade="80"/>
            </w:tcBorders>
            <w:vAlign w:val="bottom"/>
          </w:tcPr>
          <w:p w:rsidR="00BF7D0E" w:rsidRPr="003C58AD" w:rsidRDefault="00BF7D0E" w:rsidP="003C58AD">
            <w:pPr>
              <w:spacing w:after="0" w:line="240" w:lineRule="auto"/>
              <w:rPr>
                <w:sz w:val="24"/>
              </w:rPr>
            </w:pPr>
            <w:r w:rsidRPr="003C58AD">
              <w:rPr>
                <w:sz w:val="24"/>
              </w:rPr>
              <w:t>Kansas 21</w:t>
            </w:r>
            <w:r w:rsidRPr="003C58AD">
              <w:rPr>
                <w:sz w:val="24"/>
                <w:vertAlign w:val="superscript"/>
              </w:rPr>
              <w:t>st</w:t>
            </w:r>
            <w:r w:rsidRPr="003C58AD">
              <w:rPr>
                <w:sz w:val="24"/>
              </w:rPr>
              <w:t xml:space="preserve"> Century Accreditation: Relationships, Relevance, Responsive Culture, Rigor</w:t>
            </w:r>
          </w:p>
        </w:tc>
        <w:tc>
          <w:tcPr>
            <w:tcW w:w="2726" w:type="dxa"/>
            <w:tcBorders>
              <w:top w:val="nil"/>
              <w:bottom w:val="single" w:sz="12" w:space="0" w:color="304356" w:themeColor="accent6" w:themeShade="80"/>
            </w:tcBorders>
            <w:vAlign w:val="bottom"/>
          </w:tcPr>
          <w:p w:rsidR="00BF7D0E" w:rsidRPr="003C58AD" w:rsidRDefault="00BF7D0E" w:rsidP="00BA2182">
            <w:pPr>
              <w:spacing w:after="0" w:line="240" w:lineRule="auto"/>
              <w:rPr>
                <w:sz w:val="24"/>
              </w:rPr>
            </w:pPr>
            <w:r w:rsidRPr="003C58AD">
              <w:rPr>
                <w:sz w:val="24"/>
              </w:rPr>
              <w:t>Kansas MTSS Alignment</w:t>
            </w:r>
          </w:p>
        </w:tc>
        <w:tc>
          <w:tcPr>
            <w:tcW w:w="2270" w:type="dxa"/>
            <w:tcBorders>
              <w:top w:val="nil"/>
              <w:bottom w:val="single" w:sz="12" w:space="0" w:color="304356" w:themeColor="accent6" w:themeShade="80"/>
            </w:tcBorders>
            <w:vAlign w:val="bottom"/>
          </w:tcPr>
          <w:p w:rsidR="00BF7D0E" w:rsidRPr="00BA2182" w:rsidRDefault="00BF7D0E" w:rsidP="00BA2182">
            <w:pPr>
              <w:spacing w:after="0" w:line="240" w:lineRule="auto"/>
              <w:rPr>
                <w:sz w:val="24"/>
              </w:rPr>
            </w:pPr>
            <w:r>
              <w:rPr>
                <w:sz w:val="24"/>
              </w:rPr>
              <w:t xml:space="preserve">Local </w:t>
            </w:r>
          </w:p>
        </w:tc>
      </w:tr>
      <w:tr w:rsidR="00BF7D0E" w:rsidRPr="003C58AD" w:rsidTr="00BF7D0E">
        <w:trPr>
          <w:cantSplit/>
        </w:trPr>
        <w:tc>
          <w:tcPr>
            <w:tcW w:w="2696" w:type="dxa"/>
            <w:tcBorders>
              <w:top w:val="single" w:sz="12" w:space="0" w:color="FFFFFF" w:themeColor="background1"/>
              <w:bottom w:val="single" w:sz="8" w:space="0" w:color="304356" w:themeColor="accent6" w:themeShade="80"/>
            </w:tcBorders>
            <w:shd w:val="clear" w:color="auto" w:fill="C0CEDC" w:themeFill="accent6" w:themeFillTint="66"/>
            <w:tcMar>
              <w:top w:w="115" w:type="dxa"/>
              <w:left w:w="115" w:type="dxa"/>
              <w:right w:w="115" w:type="dxa"/>
            </w:tcMar>
          </w:tcPr>
          <w:p w:rsidR="00BF7D0E" w:rsidRPr="003C58AD" w:rsidRDefault="00BF7D0E" w:rsidP="00F06D4A">
            <w:pPr>
              <w:pStyle w:val="ListParagraph"/>
              <w:numPr>
                <w:ilvl w:val="0"/>
                <w:numId w:val="1"/>
              </w:numPr>
              <w:spacing w:after="0" w:line="240" w:lineRule="auto"/>
              <w:rPr>
                <w:sz w:val="20"/>
              </w:rPr>
            </w:pPr>
            <w:r w:rsidRPr="003C58AD">
              <w:rPr>
                <w:sz w:val="20"/>
              </w:rPr>
              <w:t>Sufficient oral and written communication skills to enable students to function in a complex and rapidly changing civilization;</w:t>
            </w:r>
          </w:p>
        </w:tc>
        <w:tc>
          <w:tcPr>
            <w:tcW w:w="2720" w:type="dxa"/>
            <w:tcBorders>
              <w:top w:val="single" w:sz="12" w:space="0" w:color="304356" w:themeColor="accent6" w:themeShade="80"/>
              <w:bottom w:val="single" w:sz="8" w:space="0" w:color="304356" w:themeColor="accent6" w:themeShade="80"/>
            </w:tcBorders>
            <w:shd w:val="clear" w:color="auto" w:fill="auto"/>
            <w:tcMar>
              <w:top w:w="115" w:type="dxa"/>
              <w:left w:w="115" w:type="dxa"/>
              <w:right w:w="115" w:type="dxa"/>
            </w:tcMar>
          </w:tcPr>
          <w:p w:rsidR="00BF7D0E" w:rsidRPr="003C58AD" w:rsidRDefault="00BF7D0E" w:rsidP="00F06D4A">
            <w:pPr>
              <w:spacing w:after="0" w:line="240" w:lineRule="auto"/>
              <w:rPr>
                <w:sz w:val="20"/>
              </w:rPr>
            </w:pPr>
            <w:r w:rsidRPr="003C58AD">
              <w:rPr>
                <w:sz w:val="20"/>
              </w:rPr>
              <w:t>The Kansas definition of college and career ready advocates for employability skills through the subset of Basic Skills. These Basic Skills encompass reading, writing, listening, speaking and performing math computations.</w:t>
            </w:r>
          </w:p>
        </w:tc>
        <w:tc>
          <w:tcPr>
            <w:tcW w:w="2764" w:type="dxa"/>
            <w:tcBorders>
              <w:top w:val="single" w:sz="12" w:space="0" w:color="304356" w:themeColor="accent6" w:themeShade="80"/>
              <w:bottom w:val="single" w:sz="8" w:space="0" w:color="304356" w:themeColor="accent6" w:themeShade="80"/>
            </w:tcBorders>
            <w:tcMar>
              <w:top w:w="115" w:type="dxa"/>
              <w:left w:w="115" w:type="dxa"/>
              <w:right w:w="115" w:type="dxa"/>
            </w:tcMar>
          </w:tcPr>
          <w:p w:rsidR="00BF7D0E" w:rsidRPr="003C58AD" w:rsidRDefault="00BF7D0E" w:rsidP="00F06D4A">
            <w:pPr>
              <w:spacing w:after="0" w:line="240" w:lineRule="auto"/>
              <w:rPr>
                <w:sz w:val="20"/>
              </w:rPr>
            </w:pPr>
            <w:r w:rsidRPr="003C58AD">
              <w:rPr>
                <w:sz w:val="20"/>
              </w:rPr>
              <w:t>The Relevance Rubric defines the criteria for Technology in a school district. Those criteria include having a vision for 21</w:t>
            </w:r>
            <w:r w:rsidRPr="003C58AD">
              <w:rPr>
                <w:sz w:val="20"/>
                <w:vertAlign w:val="superscript"/>
              </w:rPr>
              <w:t>st</w:t>
            </w:r>
            <w:r w:rsidRPr="003C58AD">
              <w:rPr>
                <w:sz w:val="20"/>
              </w:rPr>
              <w:t xml:space="preserve"> Century learning and being able to apply digital learning through the use of technology. Districts must have the infrastructure necessary to support technology needs in the district, provide the professional learning essential to addressing the needs of learners, use technology for systemic improvement, plan strategically for the district’s needs and gather data through the use of surveys to all stakeholders about technology and its use.</w:t>
            </w:r>
          </w:p>
        </w:tc>
        <w:tc>
          <w:tcPr>
            <w:tcW w:w="2726" w:type="dxa"/>
            <w:tcBorders>
              <w:top w:val="single" w:sz="12" w:space="0" w:color="304356" w:themeColor="accent6" w:themeShade="80"/>
              <w:bottom w:val="single" w:sz="8" w:space="0" w:color="304356" w:themeColor="accent6" w:themeShade="80"/>
            </w:tcBorders>
            <w:tcMar>
              <w:top w:w="115" w:type="dxa"/>
              <w:left w:w="115" w:type="dxa"/>
              <w:right w:w="115" w:type="dxa"/>
            </w:tcMar>
          </w:tcPr>
          <w:p w:rsidR="00BF7D0E" w:rsidRPr="003C58AD" w:rsidRDefault="00BF7D0E" w:rsidP="00F06D4A">
            <w:pPr>
              <w:spacing w:after="0" w:line="240" w:lineRule="auto"/>
              <w:rPr>
                <w:sz w:val="20"/>
              </w:rPr>
            </w:pPr>
            <w:r w:rsidRPr="003C58AD">
              <w:rPr>
                <w:sz w:val="20"/>
              </w:rPr>
              <w:t xml:space="preserve">The Kansas MTSS framework supports the use of evidence-based curricula aligned with the Kansas College and Career Ready Standards (KCCRS) delivered by highly effective staff and the establishment of a system that monitors student progress in reading, math and social skills to inform adjustments in instruction to ensure students have the skills to be successful communicators. </w:t>
            </w:r>
          </w:p>
        </w:tc>
        <w:tc>
          <w:tcPr>
            <w:tcW w:w="2270" w:type="dxa"/>
            <w:tcBorders>
              <w:top w:val="single" w:sz="12" w:space="0" w:color="304356" w:themeColor="accent6" w:themeShade="80"/>
              <w:bottom w:val="single" w:sz="8" w:space="0" w:color="304356" w:themeColor="accent6" w:themeShade="80"/>
            </w:tcBorders>
          </w:tcPr>
          <w:p w:rsidR="00BF7D0E" w:rsidRPr="003C58AD" w:rsidRDefault="00BF7D0E" w:rsidP="00F06D4A">
            <w:pPr>
              <w:spacing w:after="0" w:line="240" w:lineRule="auto"/>
              <w:rPr>
                <w:sz w:val="20"/>
              </w:rPr>
            </w:pPr>
          </w:p>
        </w:tc>
      </w:tr>
      <w:tr w:rsidR="00BF7D0E" w:rsidRPr="003C58AD" w:rsidTr="00BF7D0E">
        <w:trPr>
          <w:cantSplit/>
        </w:trPr>
        <w:tc>
          <w:tcPr>
            <w:tcW w:w="2696" w:type="dxa"/>
            <w:tcBorders>
              <w:top w:val="single" w:sz="8" w:space="0" w:color="304356" w:themeColor="accent6" w:themeShade="80"/>
              <w:bottom w:val="single" w:sz="8" w:space="0" w:color="304356" w:themeColor="accent6" w:themeShade="80"/>
            </w:tcBorders>
            <w:shd w:val="clear" w:color="auto" w:fill="C0CEDC" w:themeFill="accent6" w:themeFillTint="66"/>
            <w:tcMar>
              <w:top w:w="115" w:type="dxa"/>
              <w:left w:w="115" w:type="dxa"/>
              <w:right w:w="115" w:type="dxa"/>
            </w:tcMar>
          </w:tcPr>
          <w:p w:rsidR="00BF7D0E" w:rsidRPr="003C58AD" w:rsidRDefault="00BF7D0E" w:rsidP="00F06D4A">
            <w:pPr>
              <w:pStyle w:val="ListParagraph"/>
              <w:numPr>
                <w:ilvl w:val="0"/>
                <w:numId w:val="1"/>
              </w:numPr>
              <w:spacing w:after="0" w:line="240" w:lineRule="auto"/>
              <w:rPr>
                <w:sz w:val="20"/>
              </w:rPr>
            </w:pPr>
            <w:r w:rsidRPr="003C58AD">
              <w:rPr>
                <w:sz w:val="20"/>
              </w:rPr>
              <w:lastRenderedPageBreak/>
              <w:t>Sufficient knowledge of economic, social and political systems to enable the student to make informed choices;</w:t>
            </w:r>
          </w:p>
        </w:tc>
        <w:tc>
          <w:tcPr>
            <w:tcW w:w="2720" w:type="dxa"/>
            <w:tcBorders>
              <w:top w:val="single" w:sz="8" w:space="0" w:color="304356" w:themeColor="accent6" w:themeShade="80"/>
              <w:bottom w:val="single" w:sz="8" w:space="0" w:color="304356" w:themeColor="accent6" w:themeShade="80"/>
            </w:tcBorders>
            <w:shd w:val="clear" w:color="auto" w:fill="auto"/>
            <w:tcMar>
              <w:top w:w="115" w:type="dxa"/>
              <w:left w:w="115" w:type="dxa"/>
              <w:right w:w="115" w:type="dxa"/>
            </w:tcMar>
          </w:tcPr>
          <w:p w:rsidR="00BF7D0E" w:rsidRPr="003C58AD" w:rsidRDefault="00BF7D0E" w:rsidP="00F06D4A">
            <w:pPr>
              <w:spacing w:after="0" w:line="240" w:lineRule="auto"/>
              <w:rPr>
                <w:sz w:val="20"/>
              </w:rPr>
            </w:pPr>
            <w:r w:rsidRPr="003C58AD">
              <w:rPr>
                <w:sz w:val="20"/>
              </w:rPr>
              <w:t xml:space="preserve">The Kansas definition of college and career ready advocates for employability skills through the subset of Critical Thinking Skills, Interpersonal Qualities and Career Interest Development. These sets of skills addresses critical thinking through development of decision-making skills; thinking creatively about ideas and solutions, making decisions and using a problem-solving process; developing interpersonal qualities such as social and self-awareness; and, exploring and planning for career interest. </w:t>
            </w:r>
          </w:p>
        </w:tc>
        <w:tc>
          <w:tcPr>
            <w:tcW w:w="2764" w:type="dxa"/>
            <w:tcBorders>
              <w:top w:val="single" w:sz="8" w:space="0" w:color="304356" w:themeColor="accent6" w:themeShade="80"/>
              <w:bottom w:val="single" w:sz="8" w:space="0" w:color="304356" w:themeColor="accent6" w:themeShade="80"/>
            </w:tcBorders>
            <w:tcMar>
              <w:top w:w="115" w:type="dxa"/>
              <w:left w:w="115" w:type="dxa"/>
              <w:right w:w="115" w:type="dxa"/>
            </w:tcMar>
          </w:tcPr>
          <w:p w:rsidR="00BF7D0E" w:rsidRPr="003C58AD" w:rsidRDefault="00BF7D0E" w:rsidP="00F06D4A">
            <w:pPr>
              <w:spacing w:after="0" w:line="240" w:lineRule="auto"/>
              <w:rPr>
                <w:sz w:val="20"/>
              </w:rPr>
            </w:pPr>
            <w:r w:rsidRPr="003C58AD">
              <w:rPr>
                <w:sz w:val="20"/>
              </w:rPr>
              <w:t>The Relevance Rubric defines the criteria for Curriculum and Instruction in a school district. Criteria include implementing the Kansas College and Career Ready Standards, using resources that reflect the culture and community of the district and providing professional learning about curriculum and instruction. Content area knowledge of teachers is evaluated in an ongoing manner in order to provide authentic learning experiences and personalized instruction for all students.</w:t>
            </w:r>
          </w:p>
        </w:tc>
        <w:tc>
          <w:tcPr>
            <w:tcW w:w="2726" w:type="dxa"/>
            <w:tcBorders>
              <w:top w:val="single" w:sz="8" w:space="0" w:color="304356" w:themeColor="accent6" w:themeShade="80"/>
              <w:bottom w:val="single" w:sz="8" w:space="0" w:color="304356" w:themeColor="accent6" w:themeShade="80"/>
            </w:tcBorders>
            <w:tcMar>
              <w:top w:w="115" w:type="dxa"/>
              <w:left w:w="115" w:type="dxa"/>
              <w:right w:w="115" w:type="dxa"/>
            </w:tcMar>
          </w:tcPr>
          <w:p w:rsidR="00BF7D0E" w:rsidRPr="003C58AD" w:rsidRDefault="00BF7D0E" w:rsidP="00F06D4A">
            <w:pPr>
              <w:spacing w:after="0" w:line="240" w:lineRule="auto"/>
              <w:rPr>
                <w:sz w:val="20"/>
              </w:rPr>
            </w:pPr>
            <w:r w:rsidRPr="003C58AD">
              <w:rPr>
                <w:sz w:val="20"/>
              </w:rPr>
              <w:t>The Kansas MTSS framework supports the use of evidence-based curricula aligned with the Kansas College and Career Ready Standards (KCCRS) that is delivered by highly effective staff in addition to having a system that ensures all students have sufficient reading, math and social skills to be successful in other content area curricula.</w:t>
            </w:r>
          </w:p>
        </w:tc>
        <w:tc>
          <w:tcPr>
            <w:tcW w:w="2270" w:type="dxa"/>
            <w:tcBorders>
              <w:top w:val="single" w:sz="8" w:space="0" w:color="304356" w:themeColor="accent6" w:themeShade="80"/>
              <w:bottom w:val="single" w:sz="8" w:space="0" w:color="304356" w:themeColor="accent6" w:themeShade="80"/>
            </w:tcBorders>
          </w:tcPr>
          <w:p w:rsidR="00BF7D0E" w:rsidRPr="003C58AD" w:rsidRDefault="00BF7D0E" w:rsidP="00F06D4A">
            <w:pPr>
              <w:spacing w:after="0" w:line="240" w:lineRule="auto"/>
              <w:rPr>
                <w:sz w:val="20"/>
              </w:rPr>
            </w:pPr>
          </w:p>
        </w:tc>
      </w:tr>
      <w:tr w:rsidR="00BF7D0E" w:rsidRPr="003C58AD" w:rsidTr="00BF7D0E">
        <w:trPr>
          <w:cantSplit/>
        </w:trPr>
        <w:tc>
          <w:tcPr>
            <w:tcW w:w="2696" w:type="dxa"/>
            <w:tcBorders>
              <w:top w:val="single" w:sz="8" w:space="0" w:color="304356" w:themeColor="accent6" w:themeShade="80"/>
              <w:bottom w:val="single" w:sz="8" w:space="0" w:color="304356" w:themeColor="accent6" w:themeShade="80"/>
            </w:tcBorders>
            <w:shd w:val="clear" w:color="auto" w:fill="C0CEDC" w:themeFill="accent6" w:themeFillTint="66"/>
            <w:tcMar>
              <w:top w:w="115" w:type="dxa"/>
              <w:left w:w="115" w:type="dxa"/>
              <w:right w:w="115" w:type="dxa"/>
            </w:tcMar>
          </w:tcPr>
          <w:p w:rsidR="00BF7D0E" w:rsidRPr="003C58AD" w:rsidRDefault="00BF7D0E" w:rsidP="00F06D4A">
            <w:pPr>
              <w:pStyle w:val="ListParagraph"/>
              <w:numPr>
                <w:ilvl w:val="0"/>
                <w:numId w:val="1"/>
              </w:numPr>
              <w:spacing w:after="0" w:line="240" w:lineRule="auto"/>
              <w:rPr>
                <w:sz w:val="20"/>
              </w:rPr>
            </w:pPr>
            <w:r w:rsidRPr="003C58AD">
              <w:rPr>
                <w:sz w:val="20"/>
              </w:rPr>
              <w:t>Sufficient understanding of governmental processes to enable the student to understand the issues that affect his or her community, state and nation;</w:t>
            </w:r>
          </w:p>
        </w:tc>
        <w:tc>
          <w:tcPr>
            <w:tcW w:w="2720" w:type="dxa"/>
            <w:tcBorders>
              <w:top w:val="single" w:sz="8" w:space="0" w:color="304356" w:themeColor="accent6" w:themeShade="80"/>
              <w:bottom w:val="single" w:sz="8" w:space="0" w:color="304356" w:themeColor="accent6" w:themeShade="80"/>
            </w:tcBorders>
            <w:shd w:val="clear" w:color="auto" w:fill="auto"/>
            <w:tcMar>
              <w:top w:w="115" w:type="dxa"/>
              <w:left w:w="115" w:type="dxa"/>
              <w:right w:w="115" w:type="dxa"/>
            </w:tcMar>
          </w:tcPr>
          <w:p w:rsidR="00BF7D0E" w:rsidRPr="003C58AD" w:rsidRDefault="00BF7D0E" w:rsidP="00F06D4A">
            <w:pPr>
              <w:spacing w:after="0" w:line="240" w:lineRule="auto"/>
              <w:rPr>
                <w:sz w:val="20"/>
              </w:rPr>
            </w:pPr>
            <w:r w:rsidRPr="003C58AD">
              <w:rPr>
                <w:sz w:val="20"/>
              </w:rPr>
              <w:t>The Kansas definition of college and career ready advocates for employability skills through the subset of Interpersonal Qualities. The Interpersonal Qualities addresses being self-aware through communication with others in a variety of settings, working well with others including those from diverse backgrounds and exercising leadership. Being aware of civics at many levels can promote success in post-secondary choices.</w:t>
            </w:r>
          </w:p>
        </w:tc>
        <w:tc>
          <w:tcPr>
            <w:tcW w:w="2764" w:type="dxa"/>
            <w:tcBorders>
              <w:top w:val="single" w:sz="8" w:space="0" w:color="304356" w:themeColor="accent6" w:themeShade="80"/>
              <w:bottom w:val="single" w:sz="8" w:space="0" w:color="304356" w:themeColor="accent6" w:themeShade="80"/>
            </w:tcBorders>
            <w:tcMar>
              <w:top w:w="115" w:type="dxa"/>
              <w:left w:w="115" w:type="dxa"/>
              <w:right w:w="115" w:type="dxa"/>
            </w:tcMar>
          </w:tcPr>
          <w:p w:rsidR="00BF7D0E" w:rsidRPr="003C58AD" w:rsidRDefault="00BF7D0E" w:rsidP="00F06D4A">
            <w:pPr>
              <w:spacing w:after="0" w:line="240" w:lineRule="auto"/>
              <w:rPr>
                <w:sz w:val="20"/>
              </w:rPr>
            </w:pPr>
            <w:r w:rsidRPr="003C58AD">
              <w:rPr>
                <w:sz w:val="20"/>
              </w:rPr>
              <w:t>The Relationships Rubric defines the criteria for Students in a school district. Criteria include implementing policies and practices that encourage and empower students as well as demonstrating student involvement with community.</w:t>
            </w:r>
          </w:p>
        </w:tc>
        <w:tc>
          <w:tcPr>
            <w:tcW w:w="2726" w:type="dxa"/>
            <w:tcBorders>
              <w:top w:val="single" w:sz="8" w:space="0" w:color="304356" w:themeColor="accent6" w:themeShade="80"/>
              <w:bottom w:val="single" w:sz="8" w:space="0" w:color="304356" w:themeColor="accent6" w:themeShade="80"/>
            </w:tcBorders>
            <w:tcMar>
              <w:top w:w="115" w:type="dxa"/>
              <w:left w:w="115" w:type="dxa"/>
              <w:right w:w="115" w:type="dxa"/>
            </w:tcMar>
          </w:tcPr>
          <w:p w:rsidR="00BF7D0E" w:rsidRPr="003C58AD" w:rsidRDefault="00BF7D0E" w:rsidP="00F06D4A">
            <w:pPr>
              <w:spacing w:after="0" w:line="240" w:lineRule="auto"/>
              <w:rPr>
                <w:sz w:val="20"/>
              </w:rPr>
            </w:pPr>
            <w:r w:rsidRPr="003C58AD">
              <w:rPr>
                <w:sz w:val="20"/>
              </w:rPr>
              <w:t>The Kansas MTSS framework supports the use of evidence-based curricula aligned with the Kansas College and Career Ready Standards (KCCRS) that is delivered by highly effective staff in addition to having a system that ensures all students have sufficient reading, math and social skills to be successful in other content area curricula.</w:t>
            </w:r>
          </w:p>
        </w:tc>
        <w:tc>
          <w:tcPr>
            <w:tcW w:w="2270" w:type="dxa"/>
            <w:tcBorders>
              <w:top w:val="single" w:sz="8" w:space="0" w:color="304356" w:themeColor="accent6" w:themeShade="80"/>
              <w:bottom w:val="single" w:sz="8" w:space="0" w:color="304356" w:themeColor="accent6" w:themeShade="80"/>
            </w:tcBorders>
          </w:tcPr>
          <w:p w:rsidR="00BF7D0E" w:rsidRPr="003C58AD" w:rsidRDefault="00BF7D0E" w:rsidP="00F06D4A">
            <w:pPr>
              <w:spacing w:after="0" w:line="240" w:lineRule="auto"/>
              <w:rPr>
                <w:sz w:val="20"/>
              </w:rPr>
            </w:pPr>
          </w:p>
        </w:tc>
      </w:tr>
      <w:tr w:rsidR="00BF7D0E" w:rsidRPr="003C58AD" w:rsidTr="00BF7D0E">
        <w:trPr>
          <w:cantSplit/>
        </w:trPr>
        <w:tc>
          <w:tcPr>
            <w:tcW w:w="2696" w:type="dxa"/>
            <w:tcBorders>
              <w:top w:val="single" w:sz="8" w:space="0" w:color="304356" w:themeColor="accent6" w:themeShade="80"/>
              <w:bottom w:val="single" w:sz="8" w:space="0" w:color="304356" w:themeColor="accent6" w:themeShade="80"/>
            </w:tcBorders>
            <w:shd w:val="clear" w:color="auto" w:fill="C0CEDC" w:themeFill="accent6" w:themeFillTint="66"/>
            <w:tcMar>
              <w:top w:w="115" w:type="dxa"/>
              <w:left w:w="115" w:type="dxa"/>
              <w:right w:w="115" w:type="dxa"/>
            </w:tcMar>
          </w:tcPr>
          <w:p w:rsidR="00BF7D0E" w:rsidRPr="003C58AD" w:rsidRDefault="00BF7D0E" w:rsidP="00F06D4A">
            <w:pPr>
              <w:pStyle w:val="ListParagraph"/>
              <w:numPr>
                <w:ilvl w:val="0"/>
                <w:numId w:val="1"/>
              </w:numPr>
              <w:spacing w:after="0" w:line="240" w:lineRule="auto"/>
              <w:rPr>
                <w:sz w:val="20"/>
              </w:rPr>
            </w:pPr>
            <w:r w:rsidRPr="003C58AD">
              <w:rPr>
                <w:sz w:val="20"/>
              </w:rPr>
              <w:lastRenderedPageBreak/>
              <w:t>Sufficient self-knowledge and knowledge of his or her mental and physical wellness;</w:t>
            </w:r>
          </w:p>
        </w:tc>
        <w:tc>
          <w:tcPr>
            <w:tcW w:w="2720" w:type="dxa"/>
            <w:tcBorders>
              <w:top w:val="single" w:sz="8" w:space="0" w:color="304356" w:themeColor="accent6" w:themeShade="80"/>
              <w:bottom w:val="single" w:sz="8" w:space="0" w:color="304356" w:themeColor="accent6" w:themeShade="80"/>
            </w:tcBorders>
            <w:shd w:val="clear" w:color="auto" w:fill="auto"/>
            <w:tcMar>
              <w:top w:w="115" w:type="dxa"/>
              <w:left w:w="115" w:type="dxa"/>
              <w:right w:w="115" w:type="dxa"/>
            </w:tcMar>
          </w:tcPr>
          <w:p w:rsidR="00BF7D0E" w:rsidRPr="003C58AD" w:rsidRDefault="00BF7D0E" w:rsidP="00F06D4A">
            <w:pPr>
              <w:spacing w:after="0" w:line="240" w:lineRule="auto"/>
              <w:rPr>
                <w:sz w:val="20"/>
              </w:rPr>
            </w:pPr>
            <w:r w:rsidRPr="003C58AD">
              <w:rPr>
                <w:sz w:val="20"/>
              </w:rPr>
              <w:t>The Kansas definition of college and career ready advocates for employability skills through the subset of Interpersonal Qualities. This subset of skills specifically addresses students’ abilities to self-manage their own thoughts, feelings and behaviors and promotes self-awareness to develop positive self-worth and self-confidence.</w:t>
            </w:r>
          </w:p>
        </w:tc>
        <w:tc>
          <w:tcPr>
            <w:tcW w:w="2764" w:type="dxa"/>
            <w:tcBorders>
              <w:top w:val="single" w:sz="8" w:space="0" w:color="304356" w:themeColor="accent6" w:themeShade="80"/>
              <w:bottom w:val="single" w:sz="8" w:space="0" w:color="304356" w:themeColor="accent6" w:themeShade="80"/>
            </w:tcBorders>
            <w:tcMar>
              <w:top w:w="115" w:type="dxa"/>
              <w:left w:w="115" w:type="dxa"/>
              <w:right w:w="115" w:type="dxa"/>
            </w:tcMar>
          </w:tcPr>
          <w:p w:rsidR="00BF7D0E" w:rsidRPr="003C58AD" w:rsidRDefault="00BF7D0E" w:rsidP="00F06D4A">
            <w:pPr>
              <w:spacing w:after="0" w:line="240" w:lineRule="auto"/>
              <w:rPr>
                <w:sz w:val="20"/>
              </w:rPr>
            </w:pPr>
            <w:r w:rsidRPr="003C58AD">
              <w:rPr>
                <w:sz w:val="20"/>
              </w:rPr>
              <w:t>The Relationships Rubric defines the criteria for Students in a school district. Criteria include implementation of the Kansas Social, Emotional and Character Development Model Standards aimed at long-range planning. Student surveys target self-efficacy for empowerment and involvement and their relationships with peers, teachers, families and community.</w:t>
            </w:r>
          </w:p>
          <w:p w:rsidR="00BF7D0E" w:rsidRPr="003C58AD" w:rsidRDefault="00BF7D0E" w:rsidP="00F06D4A">
            <w:pPr>
              <w:spacing w:after="0" w:line="240" w:lineRule="auto"/>
              <w:rPr>
                <w:sz w:val="20"/>
              </w:rPr>
            </w:pPr>
            <w:r w:rsidRPr="003C58AD">
              <w:rPr>
                <w:sz w:val="20"/>
              </w:rPr>
              <w:t>The Responsive Culture Rubric defines criteria for District Climate. Criteria include surveying all stakeholders about the physical and emotional well-being of students, evaluating academic and social engagement and providing a safe and supportive environment for students, families and community.</w:t>
            </w:r>
          </w:p>
        </w:tc>
        <w:tc>
          <w:tcPr>
            <w:tcW w:w="2726" w:type="dxa"/>
            <w:tcBorders>
              <w:top w:val="single" w:sz="8" w:space="0" w:color="304356" w:themeColor="accent6" w:themeShade="80"/>
              <w:bottom w:val="single" w:sz="8" w:space="0" w:color="304356" w:themeColor="accent6" w:themeShade="80"/>
            </w:tcBorders>
            <w:tcMar>
              <w:top w:w="115" w:type="dxa"/>
              <w:left w:w="115" w:type="dxa"/>
              <w:right w:w="115" w:type="dxa"/>
            </w:tcMar>
          </w:tcPr>
          <w:p w:rsidR="00BF7D0E" w:rsidRPr="003C58AD" w:rsidRDefault="00BF7D0E" w:rsidP="00F06D4A">
            <w:pPr>
              <w:spacing w:after="0" w:line="240" w:lineRule="auto"/>
              <w:rPr>
                <w:sz w:val="20"/>
              </w:rPr>
            </w:pPr>
            <w:r w:rsidRPr="003C58AD">
              <w:rPr>
                <w:sz w:val="20"/>
              </w:rPr>
              <w:t>The Kansas MTSS framework supports the use of evidence-based curricula to support social skill development and a system that monitors and informs support for students ensuring all are successful.</w:t>
            </w:r>
          </w:p>
        </w:tc>
        <w:tc>
          <w:tcPr>
            <w:tcW w:w="2270" w:type="dxa"/>
            <w:tcBorders>
              <w:top w:val="single" w:sz="8" w:space="0" w:color="304356" w:themeColor="accent6" w:themeShade="80"/>
              <w:bottom w:val="single" w:sz="8" w:space="0" w:color="304356" w:themeColor="accent6" w:themeShade="80"/>
            </w:tcBorders>
          </w:tcPr>
          <w:p w:rsidR="00BF7D0E" w:rsidRPr="003C58AD" w:rsidRDefault="00BF7D0E" w:rsidP="00F06D4A">
            <w:pPr>
              <w:spacing w:after="0" w:line="240" w:lineRule="auto"/>
              <w:rPr>
                <w:sz w:val="20"/>
              </w:rPr>
            </w:pPr>
          </w:p>
        </w:tc>
      </w:tr>
      <w:tr w:rsidR="00BF7D0E" w:rsidRPr="003C58AD" w:rsidTr="00BF7D0E">
        <w:trPr>
          <w:cantSplit/>
        </w:trPr>
        <w:tc>
          <w:tcPr>
            <w:tcW w:w="2696" w:type="dxa"/>
            <w:tcBorders>
              <w:top w:val="single" w:sz="8" w:space="0" w:color="304356" w:themeColor="accent6" w:themeShade="80"/>
              <w:bottom w:val="single" w:sz="8" w:space="0" w:color="304356" w:themeColor="accent6" w:themeShade="80"/>
            </w:tcBorders>
            <w:shd w:val="clear" w:color="auto" w:fill="C0CEDC" w:themeFill="accent6" w:themeFillTint="66"/>
            <w:tcMar>
              <w:top w:w="115" w:type="dxa"/>
              <w:left w:w="115" w:type="dxa"/>
              <w:right w:w="115" w:type="dxa"/>
            </w:tcMar>
          </w:tcPr>
          <w:p w:rsidR="00BF7D0E" w:rsidRPr="003C58AD" w:rsidRDefault="00BF7D0E" w:rsidP="00F06D4A">
            <w:pPr>
              <w:pStyle w:val="ListParagraph"/>
              <w:numPr>
                <w:ilvl w:val="0"/>
                <w:numId w:val="1"/>
              </w:numPr>
              <w:spacing w:after="0" w:line="240" w:lineRule="auto"/>
              <w:rPr>
                <w:sz w:val="20"/>
              </w:rPr>
            </w:pPr>
            <w:r w:rsidRPr="003C58AD">
              <w:rPr>
                <w:sz w:val="20"/>
              </w:rPr>
              <w:lastRenderedPageBreak/>
              <w:br w:type="page"/>
              <w:t>Sufficient grounding in the arts to enable each student to appreciate his or her cultural and historical heritage;</w:t>
            </w:r>
          </w:p>
        </w:tc>
        <w:tc>
          <w:tcPr>
            <w:tcW w:w="2720" w:type="dxa"/>
            <w:tcBorders>
              <w:top w:val="single" w:sz="8" w:space="0" w:color="304356" w:themeColor="accent6" w:themeShade="80"/>
              <w:bottom w:val="single" w:sz="8" w:space="0" w:color="304356" w:themeColor="accent6" w:themeShade="80"/>
            </w:tcBorders>
            <w:shd w:val="clear" w:color="auto" w:fill="auto"/>
            <w:tcMar>
              <w:top w:w="115" w:type="dxa"/>
              <w:left w:w="115" w:type="dxa"/>
              <w:right w:w="115" w:type="dxa"/>
            </w:tcMar>
          </w:tcPr>
          <w:p w:rsidR="00BF7D0E" w:rsidRPr="003C58AD" w:rsidRDefault="00BF7D0E" w:rsidP="00F06D4A">
            <w:pPr>
              <w:spacing w:after="0" w:line="240" w:lineRule="auto"/>
              <w:rPr>
                <w:sz w:val="20"/>
              </w:rPr>
            </w:pPr>
            <w:r w:rsidRPr="003C58AD">
              <w:rPr>
                <w:sz w:val="20"/>
              </w:rPr>
              <w:t>The Kansas definition of college and career ready advocates for employability skills through the subset of Critical Thinking Skills, specifically asking students to engage in creative thinking and being able to generate new ideas and find solutions to problems. The subset of Interpersonal Qualities also expects that students will work with others from diverse backgrounds and experiences allowing for appreciation of their own in the process.</w:t>
            </w:r>
          </w:p>
        </w:tc>
        <w:tc>
          <w:tcPr>
            <w:tcW w:w="2764" w:type="dxa"/>
            <w:tcBorders>
              <w:top w:val="single" w:sz="8" w:space="0" w:color="304356" w:themeColor="accent6" w:themeShade="80"/>
              <w:bottom w:val="single" w:sz="8" w:space="0" w:color="304356" w:themeColor="accent6" w:themeShade="80"/>
            </w:tcBorders>
            <w:tcMar>
              <w:top w:w="115" w:type="dxa"/>
              <w:left w:w="115" w:type="dxa"/>
              <w:right w:w="115" w:type="dxa"/>
            </w:tcMar>
          </w:tcPr>
          <w:p w:rsidR="00BF7D0E" w:rsidRPr="003C58AD" w:rsidRDefault="00BF7D0E" w:rsidP="00F06D4A">
            <w:pPr>
              <w:spacing w:after="0" w:line="240" w:lineRule="auto"/>
              <w:rPr>
                <w:sz w:val="20"/>
              </w:rPr>
            </w:pPr>
            <w:r w:rsidRPr="003C58AD">
              <w:rPr>
                <w:sz w:val="20"/>
              </w:rPr>
              <w:t>The Relationships Rubric defines the criteria for Students, Families and Community. The criteria include developing positive relationships with students and families, fostering systemic family engagement within the district and the school and investing in community partnerships. The Relevance Rubric defines the criteria for Content Area Knowledge ensuring that teachers are able to advance student learning, creativity and innovation.</w:t>
            </w:r>
          </w:p>
        </w:tc>
        <w:tc>
          <w:tcPr>
            <w:tcW w:w="2726" w:type="dxa"/>
            <w:tcBorders>
              <w:top w:val="single" w:sz="8" w:space="0" w:color="304356" w:themeColor="accent6" w:themeShade="80"/>
              <w:bottom w:val="single" w:sz="8" w:space="0" w:color="304356" w:themeColor="accent6" w:themeShade="80"/>
            </w:tcBorders>
            <w:tcMar>
              <w:top w:w="115" w:type="dxa"/>
              <w:left w:w="115" w:type="dxa"/>
              <w:right w:w="115" w:type="dxa"/>
            </w:tcMar>
          </w:tcPr>
          <w:p w:rsidR="00BF7D0E" w:rsidRPr="003C58AD" w:rsidRDefault="00BF7D0E" w:rsidP="00F06D4A">
            <w:pPr>
              <w:spacing w:after="0" w:line="240" w:lineRule="auto"/>
              <w:rPr>
                <w:sz w:val="20"/>
              </w:rPr>
            </w:pPr>
            <w:r w:rsidRPr="003C58AD">
              <w:rPr>
                <w:sz w:val="20"/>
              </w:rPr>
              <w:t xml:space="preserve">The Kansas MTSS framework supports the use of evidence-based curricula aligned with the Kansas College and Career Ready Standards (KCCRS) that is culturally responsive and engages families to ensure that all staff, students and families are empowered to achieve and be successful. </w:t>
            </w:r>
          </w:p>
        </w:tc>
        <w:tc>
          <w:tcPr>
            <w:tcW w:w="2270" w:type="dxa"/>
            <w:tcBorders>
              <w:top w:val="single" w:sz="8" w:space="0" w:color="304356" w:themeColor="accent6" w:themeShade="80"/>
              <w:bottom w:val="single" w:sz="8" w:space="0" w:color="304356" w:themeColor="accent6" w:themeShade="80"/>
            </w:tcBorders>
          </w:tcPr>
          <w:p w:rsidR="00BF7D0E" w:rsidRPr="003C58AD" w:rsidRDefault="00BF7D0E" w:rsidP="00F06D4A">
            <w:pPr>
              <w:spacing w:after="0" w:line="240" w:lineRule="auto"/>
              <w:rPr>
                <w:sz w:val="20"/>
              </w:rPr>
            </w:pPr>
          </w:p>
        </w:tc>
      </w:tr>
      <w:tr w:rsidR="00BF7D0E" w:rsidRPr="003C58AD" w:rsidTr="00BF7D0E">
        <w:trPr>
          <w:cantSplit/>
        </w:trPr>
        <w:tc>
          <w:tcPr>
            <w:tcW w:w="2696" w:type="dxa"/>
            <w:tcBorders>
              <w:top w:val="single" w:sz="8" w:space="0" w:color="304356" w:themeColor="accent6" w:themeShade="80"/>
              <w:bottom w:val="single" w:sz="8" w:space="0" w:color="304356" w:themeColor="accent6" w:themeShade="80"/>
            </w:tcBorders>
            <w:shd w:val="clear" w:color="auto" w:fill="C0CEDC" w:themeFill="accent6" w:themeFillTint="66"/>
            <w:tcMar>
              <w:top w:w="115" w:type="dxa"/>
              <w:left w:w="115" w:type="dxa"/>
              <w:right w:w="115" w:type="dxa"/>
            </w:tcMar>
          </w:tcPr>
          <w:p w:rsidR="00BF7D0E" w:rsidRPr="003C58AD" w:rsidRDefault="00BF7D0E" w:rsidP="00F06D4A">
            <w:pPr>
              <w:pStyle w:val="ListParagraph"/>
              <w:numPr>
                <w:ilvl w:val="0"/>
                <w:numId w:val="1"/>
              </w:numPr>
              <w:spacing w:after="0" w:line="240" w:lineRule="auto"/>
              <w:rPr>
                <w:sz w:val="20"/>
              </w:rPr>
            </w:pPr>
            <w:r w:rsidRPr="003C58AD">
              <w:rPr>
                <w:sz w:val="20"/>
              </w:rPr>
              <w:t>Sufficient training or preparation for advanced training in either academic or vocational fields so as to enable each child to choose and pursue life work intelligently; and</w:t>
            </w:r>
          </w:p>
        </w:tc>
        <w:tc>
          <w:tcPr>
            <w:tcW w:w="2720" w:type="dxa"/>
            <w:tcBorders>
              <w:top w:val="single" w:sz="8" w:space="0" w:color="304356" w:themeColor="accent6" w:themeShade="80"/>
              <w:bottom w:val="single" w:sz="8" w:space="0" w:color="304356" w:themeColor="accent6" w:themeShade="80"/>
            </w:tcBorders>
            <w:shd w:val="clear" w:color="auto" w:fill="auto"/>
            <w:tcMar>
              <w:top w:w="115" w:type="dxa"/>
              <w:left w:w="115" w:type="dxa"/>
              <w:right w:w="115" w:type="dxa"/>
            </w:tcMar>
          </w:tcPr>
          <w:p w:rsidR="00BF7D0E" w:rsidRPr="003C58AD" w:rsidRDefault="00BF7D0E" w:rsidP="00F06D4A">
            <w:pPr>
              <w:spacing w:after="0" w:line="240" w:lineRule="auto"/>
              <w:rPr>
                <w:sz w:val="20"/>
              </w:rPr>
            </w:pPr>
            <w:r w:rsidRPr="003C58AD">
              <w:rPr>
                <w:sz w:val="20"/>
              </w:rPr>
              <w:t>The Kansas definition of college and career ready advocates for employability skills through the subset of Interpersonal Qualities and Career Interest Development. Through access to information and building relationships, students explore and plan for their interests and career preferences in order to be successful in post-secondary settings.</w:t>
            </w:r>
          </w:p>
        </w:tc>
        <w:tc>
          <w:tcPr>
            <w:tcW w:w="2764" w:type="dxa"/>
            <w:tcBorders>
              <w:top w:val="single" w:sz="8" w:space="0" w:color="304356" w:themeColor="accent6" w:themeShade="80"/>
              <w:bottom w:val="single" w:sz="8" w:space="0" w:color="304356" w:themeColor="accent6" w:themeShade="80"/>
            </w:tcBorders>
            <w:tcMar>
              <w:top w:w="115" w:type="dxa"/>
              <w:left w:w="115" w:type="dxa"/>
              <w:right w:w="115" w:type="dxa"/>
            </w:tcMar>
          </w:tcPr>
          <w:p w:rsidR="00BF7D0E" w:rsidRPr="003C58AD" w:rsidRDefault="00BF7D0E" w:rsidP="00F06D4A">
            <w:pPr>
              <w:spacing w:after="0" w:line="240" w:lineRule="auto"/>
              <w:rPr>
                <w:sz w:val="20"/>
              </w:rPr>
            </w:pPr>
            <w:r w:rsidRPr="003C58AD">
              <w:rPr>
                <w:sz w:val="20"/>
              </w:rPr>
              <w:t>The Rigor Rubric defines the criteria for Career and Technical Education in a school district. Criteria include integrating career and technical education with academics throughout the curriculum, forming partnerships with stakeholders for the purpose of career exploration and preparation and an established curriculum focused on careers. In addition, an Individual Plan of Study is advocated for every student.</w:t>
            </w:r>
          </w:p>
        </w:tc>
        <w:tc>
          <w:tcPr>
            <w:tcW w:w="2726" w:type="dxa"/>
            <w:tcBorders>
              <w:top w:val="single" w:sz="8" w:space="0" w:color="304356" w:themeColor="accent6" w:themeShade="80"/>
              <w:bottom w:val="single" w:sz="8" w:space="0" w:color="304356" w:themeColor="accent6" w:themeShade="80"/>
            </w:tcBorders>
            <w:tcMar>
              <w:top w:w="115" w:type="dxa"/>
              <w:left w:w="115" w:type="dxa"/>
              <w:right w:w="115" w:type="dxa"/>
            </w:tcMar>
          </w:tcPr>
          <w:p w:rsidR="00BF7D0E" w:rsidRPr="003C58AD" w:rsidRDefault="00BF7D0E" w:rsidP="00F06D4A">
            <w:pPr>
              <w:spacing w:after="0" w:line="240" w:lineRule="auto"/>
              <w:rPr>
                <w:sz w:val="20"/>
              </w:rPr>
            </w:pPr>
            <w:r w:rsidRPr="003C58AD">
              <w:rPr>
                <w:sz w:val="20"/>
              </w:rPr>
              <w:t>The Kansas MTSS framework supports the use of evidence-based curricula aligned with the Kansas College and Career Ready Standards (KCCRS) that is delivered by highly effective staff in addition to having a system that ensures all students have sufficient reading, math and social skills to be successful.</w:t>
            </w:r>
          </w:p>
        </w:tc>
        <w:tc>
          <w:tcPr>
            <w:tcW w:w="2270" w:type="dxa"/>
            <w:tcBorders>
              <w:top w:val="single" w:sz="8" w:space="0" w:color="304356" w:themeColor="accent6" w:themeShade="80"/>
              <w:bottom w:val="single" w:sz="8" w:space="0" w:color="304356" w:themeColor="accent6" w:themeShade="80"/>
            </w:tcBorders>
          </w:tcPr>
          <w:p w:rsidR="00BF7D0E" w:rsidRPr="003C58AD" w:rsidRDefault="00BF7D0E" w:rsidP="00F06D4A">
            <w:pPr>
              <w:spacing w:after="0" w:line="240" w:lineRule="auto"/>
              <w:rPr>
                <w:sz w:val="20"/>
              </w:rPr>
            </w:pPr>
          </w:p>
        </w:tc>
      </w:tr>
      <w:tr w:rsidR="00BF7D0E" w:rsidRPr="003C58AD" w:rsidTr="00BF7D0E">
        <w:trPr>
          <w:cantSplit/>
        </w:trPr>
        <w:tc>
          <w:tcPr>
            <w:tcW w:w="2696" w:type="dxa"/>
            <w:tcBorders>
              <w:top w:val="single" w:sz="8" w:space="0" w:color="304356" w:themeColor="accent6" w:themeShade="80"/>
              <w:bottom w:val="single" w:sz="8" w:space="0" w:color="304356" w:themeColor="accent6" w:themeShade="80"/>
            </w:tcBorders>
            <w:shd w:val="clear" w:color="auto" w:fill="C0CEDC" w:themeFill="accent6" w:themeFillTint="66"/>
            <w:tcMar>
              <w:top w:w="115" w:type="dxa"/>
              <w:left w:w="115" w:type="dxa"/>
              <w:right w:w="115" w:type="dxa"/>
            </w:tcMar>
          </w:tcPr>
          <w:p w:rsidR="00BF7D0E" w:rsidRPr="003C58AD" w:rsidRDefault="00BF7D0E" w:rsidP="00F06D4A">
            <w:pPr>
              <w:pStyle w:val="ListParagraph"/>
              <w:numPr>
                <w:ilvl w:val="0"/>
                <w:numId w:val="1"/>
              </w:numPr>
              <w:spacing w:after="0" w:line="240" w:lineRule="auto"/>
              <w:rPr>
                <w:sz w:val="20"/>
              </w:rPr>
            </w:pPr>
            <w:r w:rsidRPr="003C58AD">
              <w:rPr>
                <w:sz w:val="20"/>
              </w:rPr>
              <w:lastRenderedPageBreak/>
              <w:t>Sufficient levels of academic or vocational skills to enable public school students to compete favorably with their counterparts in surrounding states, in academics or in the job market.</w:t>
            </w:r>
          </w:p>
        </w:tc>
        <w:tc>
          <w:tcPr>
            <w:tcW w:w="2720" w:type="dxa"/>
            <w:tcBorders>
              <w:top w:val="single" w:sz="8" w:space="0" w:color="304356" w:themeColor="accent6" w:themeShade="80"/>
              <w:bottom w:val="single" w:sz="8" w:space="0" w:color="304356" w:themeColor="accent6" w:themeShade="80"/>
            </w:tcBorders>
            <w:shd w:val="clear" w:color="auto" w:fill="auto"/>
            <w:tcMar>
              <w:top w:w="115" w:type="dxa"/>
              <w:left w:w="115" w:type="dxa"/>
              <w:right w:w="115" w:type="dxa"/>
            </w:tcMar>
          </w:tcPr>
          <w:p w:rsidR="00BF7D0E" w:rsidRPr="003C58AD" w:rsidRDefault="00BF7D0E" w:rsidP="00F06D4A">
            <w:pPr>
              <w:spacing w:after="0" w:line="240" w:lineRule="auto"/>
              <w:rPr>
                <w:sz w:val="20"/>
              </w:rPr>
            </w:pPr>
            <w:r w:rsidRPr="003C58AD">
              <w:rPr>
                <w:sz w:val="20"/>
              </w:rPr>
              <w:t>The Kansas definition of college and career ready advocates for academic preparation, cognitive preparation, technical and employability skills so that all Kansas students are well rounded and prepared for pathways to post-secondary education or careers.</w:t>
            </w:r>
          </w:p>
        </w:tc>
        <w:tc>
          <w:tcPr>
            <w:tcW w:w="2764" w:type="dxa"/>
            <w:tcBorders>
              <w:top w:val="single" w:sz="8" w:space="0" w:color="304356" w:themeColor="accent6" w:themeShade="80"/>
              <w:bottom w:val="single" w:sz="8" w:space="0" w:color="304356" w:themeColor="accent6" w:themeShade="80"/>
            </w:tcBorders>
            <w:tcMar>
              <w:top w:w="115" w:type="dxa"/>
              <w:left w:w="115" w:type="dxa"/>
              <w:right w:w="115" w:type="dxa"/>
            </w:tcMar>
          </w:tcPr>
          <w:p w:rsidR="00BF7D0E" w:rsidRPr="003C58AD" w:rsidRDefault="00BF7D0E" w:rsidP="00F06D4A">
            <w:pPr>
              <w:spacing w:after="0" w:line="240" w:lineRule="auto"/>
              <w:rPr>
                <w:sz w:val="20"/>
              </w:rPr>
            </w:pPr>
            <w:r w:rsidRPr="003C58AD">
              <w:rPr>
                <w:sz w:val="20"/>
              </w:rPr>
              <w:t>The Rigor Rubric defines the criteria for Career and Technical Education and Technology in a school district. Criteria include long-term planning through the collection, analysis and use of data focused on economic and work force trends state-wide and nationally. Addressing students’ individual academic and career goals while addressing educational priorities with community state and national workforce needs is a priority.</w:t>
            </w:r>
          </w:p>
        </w:tc>
        <w:tc>
          <w:tcPr>
            <w:tcW w:w="2726" w:type="dxa"/>
            <w:tcBorders>
              <w:top w:val="single" w:sz="8" w:space="0" w:color="304356" w:themeColor="accent6" w:themeShade="80"/>
              <w:bottom w:val="single" w:sz="8" w:space="0" w:color="304356" w:themeColor="accent6" w:themeShade="80"/>
            </w:tcBorders>
            <w:tcMar>
              <w:top w:w="115" w:type="dxa"/>
              <w:left w:w="115" w:type="dxa"/>
              <w:right w:w="115" w:type="dxa"/>
            </w:tcMar>
          </w:tcPr>
          <w:p w:rsidR="00BF7D0E" w:rsidRPr="003C58AD" w:rsidRDefault="00BF7D0E" w:rsidP="00F06D4A">
            <w:pPr>
              <w:spacing w:after="0" w:line="240" w:lineRule="auto"/>
              <w:rPr>
                <w:sz w:val="20"/>
              </w:rPr>
            </w:pPr>
            <w:r w:rsidRPr="003C58AD">
              <w:rPr>
                <w:sz w:val="20"/>
              </w:rPr>
              <w:t>The Kansas MTSS framework supports the use of evidence-based curricula aligned with the Kansas College and Career Ready Standards (KCCRS) that is delivered by highly effective staff in addition to having a system that ensures all students have sufficient reading, math and social skills to be successful.</w:t>
            </w:r>
          </w:p>
        </w:tc>
        <w:tc>
          <w:tcPr>
            <w:tcW w:w="2270" w:type="dxa"/>
            <w:tcBorders>
              <w:top w:val="single" w:sz="8" w:space="0" w:color="304356" w:themeColor="accent6" w:themeShade="80"/>
              <w:bottom w:val="single" w:sz="8" w:space="0" w:color="304356" w:themeColor="accent6" w:themeShade="80"/>
            </w:tcBorders>
          </w:tcPr>
          <w:p w:rsidR="00BF7D0E" w:rsidRPr="003C58AD" w:rsidRDefault="00BF7D0E" w:rsidP="00F06D4A">
            <w:pPr>
              <w:spacing w:after="0" w:line="240" w:lineRule="auto"/>
              <w:rPr>
                <w:sz w:val="20"/>
              </w:rPr>
            </w:pPr>
          </w:p>
        </w:tc>
      </w:tr>
    </w:tbl>
    <w:p w:rsidR="00E06E39" w:rsidRDefault="00E06E39" w:rsidP="00F06D4A">
      <w:pPr>
        <w:tabs>
          <w:tab w:val="left" w:pos="11415"/>
        </w:tabs>
        <w:rPr>
          <w:sz w:val="20"/>
        </w:rPr>
      </w:pPr>
    </w:p>
    <w:p w:rsidR="003C58AD" w:rsidRDefault="003C58AD" w:rsidP="00F06D4A">
      <w:pPr>
        <w:tabs>
          <w:tab w:val="left" w:pos="11415"/>
        </w:tabs>
        <w:rPr>
          <w:sz w:val="20"/>
        </w:rPr>
      </w:pPr>
    </w:p>
    <w:p w:rsidR="003C58AD" w:rsidRDefault="003C58AD" w:rsidP="00F06D4A">
      <w:pPr>
        <w:tabs>
          <w:tab w:val="left" w:pos="11415"/>
        </w:tabs>
        <w:rPr>
          <w:sz w:val="20"/>
        </w:rPr>
      </w:pPr>
    </w:p>
    <w:p w:rsidR="003C58AD" w:rsidRPr="003C58AD" w:rsidRDefault="003C58AD" w:rsidP="00F06D4A">
      <w:pPr>
        <w:tabs>
          <w:tab w:val="left" w:pos="11415"/>
        </w:tabs>
        <w:rPr>
          <w:sz w:val="20"/>
        </w:rPr>
      </w:pPr>
    </w:p>
    <w:p w:rsidR="00E06E39" w:rsidRPr="003C58AD" w:rsidRDefault="003C58AD" w:rsidP="00E06E39">
      <w:pPr>
        <w:tabs>
          <w:tab w:val="left" w:pos="11415"/>
        </w:tabs>
        <w:spacing w:after="0" w:line="240" w:lineRule="auto"/>
        <w:rPr>
          <w:sz w:val="20"/>
        </w:rPr>
      </w:pPr>
      <w:r w:rsidRPr="003C58AD">
        <w:rPr>
          <w:noProof/>
          <w:sz w:val="20"/>
        </w:rPr>
        <w:drawing>
          <wp:anchor distT="0" distB="0" distL="114300" distR="114300" simplePos="0" relativeHeight="251660288" behindDoc="0" locked="0" layoutInCell="1" allowOverlap="1" wp14:anchorId="0F918EB4" wp14:editId="5E1C52E6">
            <wp:simplePos x="0" y="0"/>
            <wp:positionH relativeFrom="margin">
              <wp:posOffset>106045</wp:posOffset>
            </wp:positionH>
            <wp:positionV relativeFrom="margin">
              <wp:posOffset>4384675</wp:posOffset>
            </wp:positionV>
            <wp:extent cx="1410335" cy="1097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E Full Colo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335" cy="1097280"/>
                    </a:xfrm>
                    <a:prstGeom prst="rect">
                      <a:avLst/>
                    </a:prstGeom>
                  </pic:spPr>
                </pic:pic>
              </a:graphicData>
            </a:graphic>
            <wp14:sizeRelH relativeFrom="margin">
              <wp14:pctWidth>0</wp14:pctWidth>
            </wp14:sizeRelH>
            <wp14:sizeRelV relativeFrom="margin">
              <wp14:pctHeight>0</wp14:pctHeight>
            </wp14:sizeRelV>
          </wp:anchor>
        </w:drawing>
      </w:r>
      <w:r w:rsidR="00E06E39" w:rsidRPr="003C58AD">
        <w:rPr>
          <w:sz w:val="20"/>
        </w:rPr>
        <w:t>Division of Learning Services</w:t>
      </w:r>
    </w:p>
    <w:p w:rsidR="00E06E39" w:rsidRPr="003C58AD" w:rsidRDefault="00E06E39" w:rsidP="00E06E39">
      <w:pPr>
        <w:tabs>
          <w:tab w:val="left" w:pos="11415"/>
        </w:tabs>
        <w:spacing w:after="0" w:line="240" w:lineRule="auto"/>
        <w:rPr>
          <w:sz w:val="20"/>
        </w:rPr>
      </w:pPr>
      <w:r w:rsidRPr="003C58AD">
        <w:rPr>
          <w:sz w:val="20"/>
        </w:rPr>
        <w:t>Kansas State Department of Education</w:t>
      </w:r>
    </w:p>
    <w:p w:rsidR="00E06E39" w:rsidRPr="003C58AD" w:rsidRDefault="00E06E39" w:rsidP="00E06E39">
      <w:pPr>
        <w:tabs>
          <w:tab w:val="left" w:pos="11415"/>
        </w:tabs>
        <w:spacing w:after="0" w:line="240" w:lineRule="auto"/>
        <w:rPr>
          <w:sz w:val="20"/>
        </w:rPr>
      </w:pPr>
      <w:r w:rsidRPr="003C58AD">
        <w:rPr>
          <w:sz w:val="20"/>
        </w:rPr>
        <w:t>Landon State Office Building</w:t>
      </w:r>
    </w:p>
    <w:p w:rsidR="00E06E39" w:rsidRPr="003C58AD" w:rsidRDefault="00E06E39" w:rsidP="00E06E39">
      <w:pPr>
        <w:tabs>
          <w:tab w:val="left" w:pos="11415"/>
        </w:tabs>
        <w:spacing w:after="0" w:line="240" w:lineRule="auto"/>
        <w:rPr>
          <w:sz w:val="20"/>
        </w:rPr>
      </w:pPr>
      <w:r w:rsidRPr="003C58AD">
        <w:rPr>
          <w:sz w:val="20"/>
        </w:rPr>
        <w:t>900 SW Jackson Street, Suite 656</w:t>
      </w:r>
    </w:p>
    <w:p w:rsidR="00E06E39" w:rsidRPr="003C58AD" w:rsidRDefault="00E06E39" w:rsidP="003C58AD">
      <w:pPr>
        <w:tabs>
          <w:tab w:val="left" w:pos="11415"/>
        </w:tabs>
        <w:spacing w:after="120" w:line="240" w:lineRule="auto"/>
        <w:rPr>
          <w:sz w:val="20"/>
        </w:rPr>
      </w:pPr>
      <w:r w:rsidRPr="003C58AD">
        <w:rPr>
          <w:sz w:val="20"/>
        </w:rPr>
        <w:t>Topeka, Kansas 66612-1212</w:t>
      </w:r>
    </w:p>
    <w:p w:rsidR="003C58AD" w:rsidRPr="003C58AD" w:rsidRDefault="00E06E39" w:rsidP="003C58AD">
      <w:pPr>
        <w:tabs>
          <w:tab w:val="left" w:pos="11415"/>
        </w:tabs>
        <w:spacing w:after="120" w:line="240" w:lineRule="auto"/>
        <w:rPr>
          <w:sz w:val="20"/>
        </w:rPr>
      </w:pPr>
      <w:r w:rsidRPr="003C58AD">
        <w:rPr>
          <w:sz w:val="20"/>
        </w:rPr>
        <w:t>(785) 296-2303</w:t>
      </w:r>
    </w:p>
    <w:p w:rsidR="003C58AD" w:rsidRPr="003C58AD" w:rsidRDefault="00057ED5" w:rsidP="00E06E39">
      <w:pPr>
        <w:tabs>
          <w:tab w:val="left" w:pos="11415"/>
        </w:tabs>
        <w:spacing w:after="0" w:line="240" w:lineRule="auto"/>
        <w:rPr>
          <w:i/>
          <w:sz w:val="20"/>
        </w:rPr>
      </w:pPr>
      <w:hyperlink r:id="rId9" w:history="1">
        <w:r w:rsidR="003C58AD" w:rsidRPr="003C58AD">
          <w:rPr>
            <w:rStyle w:val="Hyperlink"/>
            <w:i/>
            <w:sz w:val="20"/>
            <w:u w:val="none"/>
          </w:rPr>
          <w:t>www.ksde.org</w:t>
        </w:r>
      </w:hyperlink>
    </w:p>
    <w:p w:rsidR="003C58AD" w:rsidRDefault="003C58AD" w:rsidP="00E06E39">
      <w:pPr>
        <w:tabs>
          <w:tab w:val="left" w:pos="11415"/>
        </w:tabs>
        <w:spacing w:after="0" w:line="240" w:lineRule="auto"/>
        <w:rPr>
          <w:i/>
        </w:rPr>
      </w:pPr>
    </w:p>
    <w:p w:rsidR="003C58AD" w:rsidRPr="003C58AD" w:rsidRDefault="003C58AD" w:rsidP="00E06E39">
      <w:pPr>
        <w:tabs>
          <w:tab w:val="left" w:pos="11415"/>
        </w:tabs>
        <w:spacing w:after="0" w:line="240" w:lineRule="auto"/>
        <w:rPr>
          <w:i/>
        </w:rPr>
      </w:pPr>
    </w:p>
    <w:p w:rsidR="003C58AD" w:rsidRPr="003C58AD" w:rsidRDefault="003C58AD" w:rsidP="003C58AD">
      <w:pPr>
        <w:pStyle w:val="Pa2"/>
        <w:spacing w:line="240" w:lineRule="auto"/>
        <w:ind w:left="432" w:right="432"/>
        <w:rPr>
          <w:rFonts w:ascii="Arial Narrow" w:hAnsi="Arial Narrow" w:cs="Arial"/>
          <w:sz w:val="12"/>
          <w:szCs w:val="20"/>
        </w:rPr>
      </w:pPr>
      <w:r w:rsidRPr="003C58AD">
        <w:rPr>
          <w:rFonts w:ascii="Arial Narrow" w:hAnsi="Arial Narrow" w:cs="Arial"/>
          <w:sz w:val="12"/>
          <w:szCs w:val="20"/>
        </w:rPr>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p w:rsidR="00EE3D71" w:rsidRDefault="00F06D4A" w:rsidP="00E06E39">
      <w:pPr>
        <w:tabs>
          <w:tab w:val="left" w:pos="11415"/>
        </w:tabs>
        <w:spacing w:after="0" w:line="240" w:lineRule="auto"/>
      </w:pPr>
      <w:r>
        <w:tab/>
      </w:r>
    </w:p>
    <w:sectPr w:rsidR="00EE3D71" w:rsidSect="00782FBC">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1440" w:bottom="72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D5" w:rsidRDefault="00057ED5" w:rsidP="008D161D">
      <w:pPr>
        <w:spacing w:after="0" w:line="240" w:lineRule="auto"/>
      </w:pPr>
      <w:r>
        <w:separator/>
      </w:r>
    </w:p>
  </w:endnote>
  <w:endnote w:type="continuationSeparator" w:id="0">
    <w:p w:rsidR="00057ED5" w:rsidRDefault="00057ED5" w:rsidP="008D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8AD" w:rsidRDefault="00057ED5" w:rsidP="003C58AD">
    <w:pPr>
      <w:pStyle w:val="Footer"/>
    </w:pPr>
    <w:sdt>
      <w:sdtPr>
        <w:id w:val="1318835040"/>
        <w:docPartObj>
          <w:docPartGallery w:val="Page Numbers (Bottom of Page)"/>
          <w:docPartUnique/>
        </w:docPartObj>
      </w:sdtPr>
      <w:sdtEndPr>
        <w:rPr>
          <w:noProof/>
        </w:rPr>
      </w:sdtEndPr>
      <w:sdtContent>
        <w:r w:rsidR="003C58AD" w:rsidRPr="00BA070F">
          <w:rPr>
            <w:noProof/>
            <w:sz w:val="12"/>
          </w:rPr>
          <w:t>Division of Learning Services, Kans</w:t>
        </w:r>
        <w:r w:rsidR="003C58AD">
          <w:rPr>
            <w:noProof/>
            <w:sz w:val="12"/>
          </w:rPr>
          <w:t xml:space="preserve">as State Deparment of Education | </w:t>
        </w:r>
        <w:r w:rsidR="003C58AD" w:rsidRPr="00BA070F">
          <w:rPr>
            <w:noProof/>
            <w:sz w:val="12"/>
          </w:rPr>
          <w:t>April, 2014</w:t>
        </w:r>
      </w:sdtContent>
    </w:sdt>
    <w:r w:rsidR="003C58AD">
      <w:t xml:space="preserve"> </w:t>
    </w:r>
    <w:sdt>
      <w:sdtPr>
        <w:id w:val="528302340"/>
        <w:docPartObj>
          <w:docPartGallery w:val="Page Numbers (Bottom of Page)"/>
          <w:docPartUnique/>
        </w:docPartObj>
      </w:sdtPr>
      <w:sdtEndPr>
        <w:rPr>
          <w:noProof/>
          <w:sz w:val="20"/>
        </w:rPr>
      </w:sdtEndPr>
      <w:sdtContent>
        <w:r w:rsidR="003C58AD">
          <w:tab/>
        </w:r>
        <w:r w:rsidR="003C58AD">
          <w:tab/>
          <w:t xml:space="preserve"> </w:t>
        </w:r>
        <w:r w:rsidR="003C58AD">
          <w:tab/>
        </w:r>
        <w:r w:rsidR="003C58AD">
          <w:tab/>
        </w:r>
        <w:r w:rsidR="003C58AD">
          <w:tab/>
        </w:r>
        <w:r w:rsidR="003C58AD">
          <w:tab/>
        </w:r>
        <w:r w:rsidR="003C58AD" w:rsidRPr="003C58AD">
          <w:rPr>
            <w:sz w:val="20"/>
          </w:rPr>
          <w:fldChar w:fldCharType="begin"/>
        </w:r>
        <w:r w:rsidR="003C58AD" w:rsidRPr="003C58AD">
          <w:rPr>
            <w:sz w:val="20"/>
          </w:rPr>
          <w:instrText xml:space="preserve"> PAGE   \* MERGEFORMAT </w:instrText>
        </w:r>
        <w:r w:rsidR="003C58AD" w:rsidRPr="003C58AD">
          <w:rPr>
            <w:sz w:val="20"/>
          </w:rPr>
          <w:fldChar w:fldCharType="separate"/>
        </w:r>
        <w:r w:rsidR="00782FBC">
          <w:rPr>
            <w:noProof/>
            <w:sz w:val="20"/>
          </w:rPr>
          <w:t>2</w:t>
        </w:r>
        <w:r w:rsidR="003C58AD" w:rsidRPr="003C58AD">
          <w:rPr>
            <w:noProof/>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388962"/>
      <w:docPartObj>
        <w:docPartGallery w:val="Page Numbers (Bottom of Page)"/>
        <w:docPartUnique/>
      </w:docPartObj>
    </w:sdtPr>
    <w:sdtEndPr>
      <w:rPr>
        <w:noProof/>
      </w:rPr>
    </w:sdtEndPr>
    <w:sdtContent>
      <w:p w:rsidR="008D161D" w:rsidRDefault="00BA070F">
        <w:pPr>
          <w:pStyle w:val="Footer"/>
        </w:pPr>
        <w:r w:rsidRPr="003C58AD">
          <w:rPr>
            <w:sz w:val="20"/>
          </w:rPr>
          <w:fldChar w:fldCharType="begin"/>
        </w:r>
        <w:r w:rsidRPr="003C58AD">
          <w:rPr>
            <w:sz w:val="20"/>
          </w:rPr>
          <w:instrText xml:space="preserve"> PAGE   \* MERGEFORMAT </w:instrText>
        </w:r>
        <w:r w:rsidRPr="003C58AD">
          <w:rPr>
            <w:sz w:val="20"/>
          </w:rPr>
          <w:fldChar w:fldCharType="separate"/>
        </w:r>
        <w:r w:rsidR="007274DA">
          <w:rPr>
            <w:noProof/>
            <w:sz w:val="20"/>
          </w:rPr>
          <w:t>5</w:t>
        </w:r>
        <w:r w:rsidRPr="003C58AD">
          <w:rPr>
            <w:noProof/>
            <w:sz w:val="20"/>
          </w:rPr>
          <w:fldChar w:fldCharType="end"/>
        </w:r>
        <w:r>
          <w:rPr>
            <w:noProof/>
          </w:rPr>
          <w:t xml:space="preserve">  </w:t>
        </w:r>
        <w:r>
          <w:rPr>
            <w:noProof/>
          </w:rPr>
          <w:tab/>
        </w:r>
        <w:r>
          <w:rPr>
            <w:noProof/>
          </w:rPr>
          <w:tab/>
        </w:r>
        <w:r w:rsidR="003C58AD">
          <w:rPr>
            <w:noProof/>
          </w:rPr>
          <w:t xml:space="preserve">                                                                </w:t>
        </w:r>
        <w:r w:rsidRPr="00BA070F">
          <w:rPr>
            <w:noProof/>
            <w:sz w:val="12"/>
          </w:rPr>
          <w:t>Division of Learning Services, Kansas State Deparment of Education</w:t>
        </w:r>
        <w:r w:rsidR="003C58AD">
          <w:rPr>
            <w:noProof/>
            <w:sz w:val="12"/>
          </w:rPr>
          <w:t xml:space="preserve"> |</w:t>
        </w:r>
        <w:r w:rsidRPr="00BA070F">
          <w:rPr>
            <w:noProof/>
            <w:sz w:val="12"/>
          </w:rPr>
          <w:t xml:space="preserve"> April, 2014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8AD" w:rsidRPr="003C58AD" w:rsidRDefault="003C58AD" w:rsidP="003C58AD">
    <w:pPr>
      <w:pStyle w:val="Footer"/>
      <w:jc w:val="right"/>
      <w:rPr>
        <w:sz w:val="12"/>
      </w:rPr>
    </w:pPr>
    <w:r w:rsidRPr="003C58AD">
      <w:rPr>
        <w:sz w:val="12"/>
      </w:rPr>
      <w:t>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D5" w:rsidRDefault="00057ED5" w:rsidP="008D161D">
      <w:pPr>
        <w:spacing w:after="0" w:line="240" w:lineRule="auto"/>
      </w:pPr>
      <w:r>
        <w:separator/>
      </w:r>
    </w:p>
  </w:footnote>
  <w:footnote w:type="continuationSeparator" w:id="0">
    <w:p w:rsidR="00057ED5" w:rsidRDefault="00057ED5" w:rsidP="008D1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42" w:rsidRPr="00883242" w:rsidRDefault="00883242">
    <w:pPr>
      <w:pStyle w:val="Header"/>
      <w:rPr>
        <w:color w:val="304356" w:themeColor="accent6" w:themeShade="80"/>
        <w:sz w:val="20"/>
      </w:rPr>
    </w:pPr>
    <w:r w:rsidRPr="003C58AD">
      <w:rPr>
        <w:noProof/>
        <w:color w:val="304356" w:themeColor="accent6" w:themeShade="80"/>
        <w:sz w:val="20"/>
      </w:rPr>
      <w:t>Kansas Alignment to Rose Standards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1D" w:rsidRPr="003C58AD" w:rsidRDefault="00057ED5" w:rsidP="003C58AD">
    <w:pPr>
      <w:pStyle w:val="Header"/>
      <w:rPr>
        <w:color w:val="304356" w:themeColor="accent6" w:themeShade="80"/>
        <w:sz w:val="20"/>
      </w:rPr>
    </w:pPr>
    <w:sdt>
      <w:sdtPr>
        <w:rPr>
          <w:noProof/>
          <w:color w:val="304356" w:themeColor="accent6" w:themeShade="80"/>
          <w:sz w:val="20"/>
        </w:rPr>
        <w:id w:val="282862243"/>
        <w:docPartObj>
          <w:docPartGallery w:val="Watermarks"/>
          <w:docPartUnique/>
        </w:docPartObj>
      </w:sdtPr>
      <w:sdtEndPr/>
      <w:sdtContent>
        <w:r>
          <w:rPr>
            <w:noProof/>
            <w:color w:val="304356" w:themeColor="accent6" w:themeShade="80"/>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597C" w:rsidRPr="003C58AD">
      <w:rPr>
        <w:noProof/>
        <w:color w:val="304356" w:themeColor="accent6" w:themeShade="80"/>
        <w:sz w:val="20"/>
      </w:rPr>
      <w:t>Kansas Alignment to Rose Standards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42" w:rsidRDefault="00883242">
    <w:pPr>
      <w:pStyle w:val="Header"/>
    </w:pPr>
    <w:r>
      <w:rPr>
        <w:noProof/>
      </w:rPr>
      <mc:AlternateContent>
        <mc:Choice Requires="wps">
          <w:drawing>
            <wp:anchor distT="0" distB="0" distL="114300" distR="114300" simplePos="0" relativeHeight="251657216" behindDoc="0" locked="0" layoutInCell="1" allowOverlap="1" wp14:anchorId="05E58386" wp14:editId="50F35530">
              <wp:simplePos x="0" y="0"/>
              <wp:positionH relativeFrom="margin">
                <wp:posOffset>1248409</wp:posOffset>
              </wp:positionH>
              <wp:positionV relativeFrom="margin">
                <wp:posOffset>2077085</wp:posOffset>
              </wp:positionV>
              <wp:extent cx="6605905" cy="4267200"/>
              <wp:effectExtent l="361950" t="1562100" r="347345" b="1559560"/>
              <wp:wrapNone/>
              <wp:docPr id="4" name="Text Box 4"/>
              <wp:cNvGraphicFramePr/>
              <a:graphic xmlns:a="http://schemas.openxmlformats.org/drawingml/2006/main">
                <a:graphicData uri="http://schemas.microsoft.com/office/word/2010/wordprocessingShape">
                  <wps:wsp>
                    <wps:cNvSpPr txBox="1"/>
                    <wps:spPr>
                      <a:xfrm rot="19595537">
                        <a:off x="0" y="0"/>
                        <a:ext cx="6605905" cy="426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242" w:rsidRPr="00F039F9" w:rsidRDefault="00883242" w:rsidP="00883242">
                          <w:pPr>
                            <w:jc w:val="center"/>
                            <w:rPr>
                              <w:rFonts w:ascii="Arial Narrow" w:hAnsi="Arial Narrow"/>
                              <w:color w:val="F2F2F2" w:themeColor="background1" w:themeShade="F2"/>
                              <w:sz w:val="360"/>
                              <w:szCs w:val="144"/>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pPr>
                          <w:r w:rsidRPr="00F039F9">
                            <w:rPr>
                              <w:rFonts w:ascii="Arial Narrow" w:hAnsi="Arial Narrow"/>
                              <w:color w:val="FFFFFF" w:themeColor="background1"/>
                              <w:sz w:val="360"/>
                              <w:szCs w:val="144"/>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10800000" w14:scaled="0"/>
                                </w14:grad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E58386" id="_x0000_t202" coordsize="21600,21600" o:spt="202" path="m,l,21600r21600,l21600,xe">
              <v:stroke joinstyle="miter"/>
              <v:path gradientshapeok="t" o:connecttype="rect"/>
            </v:shapetype>
            <v:shape id="Text Box 4" o:spid="_x0000_s1026" type="#_x0000_t202" style="position:absolute;margin-left:98.3pt;margin-top:163.55pt;width:520.15pt;height:336pt;rotation:-2189408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xzlQIAAJoFAAAOAAAAZHJzL2Uyb0RvYy54bWysVE1vGyEQvVfqf0Dc610nXqe2so7cRK4q&#10;WUnUpMoZsxCvCgwF7F3312dg1x9Nc0nVC4Lh8YZ583F51WpFtsL5GkxJh4OcEmE4VLV5LumPx8Wn&#10;z5T4wEzFFBhR0p3w9Gr28cNlY6fiDNagKuEIkhg/bWxJ1yHYaZZ5vhaa+QFYYfBSgtMs4NE9Z5Vj&#10;DbJrlZ3l+ThrwFXWARfeo/Wmu6SzxC+l4OFOSi8CUSXFv4W0urSu4prNLtn02TG7rnn/DfYPv9Cs&#10;Nuj0QHXDAiMbV/9FpWvuwIMMAw46AylrLlIMGM0wfxXNw5pZkWJBcbw9yOT/Hy2/3d47UlclHVFi&#10;mMYUPYo2kC/QklFUp7F+iqAHi7DQohmzvLd7NMagW+k0cYDiDifFpCjOL5IWGB1BOMq+O0gduTka&#10;x+O8mOQFJRzvRmfjC0xmpM06tshqnQ9fBWgSNyV1mMtEy7ZLHzroHhLhHlRdLWql0iHWj7hWjmwZ&#10;Zl6F9Gck/wOlDGnwK+dFnogNxOcdszKRRqQK6t1FJbqI0y7slIgYZb4LiQqmSN/wzTgX5uA/oSNK&#10;oqv3POzxx1+953EXB75InsGEw2NdG3Ap+tRyR8mqn3vJZIfH3JzEHbehXbV9hayg2mGBpBrAfHvL&#10;FzVmbcl8uGcOOwqNOCXCHS5SAaoO/Y6SNbjfb9kjHgsdbylpsENL6n9tmBOUqG8GW2AyHI1iS6fD&#10;qMAKosSd3qxOb8xGXwOWwjD9Lm0jPqj9VjrQTzhM5tErXjHD0XdJw357Hbq5gcOIi/k8gbCJLQtL&#10;82B5pI7yxpp8bJ+Ys33hBqz5W9j3Mpu+qt8OG196O98ErMFU3FHgTtVeeBwAqT36YRUnzOk5oY4j&#10;dfYCAAD//wMAUEsDBBQABgAIAAAAIQDJWDIt4QAAAAwBAAAPAAAAZHJzL2Rvd25yZXYueG1sTI/L&#10;TsMwEEX3SPyDNUjsqJNUSnGIUyFEEeqqLSC203hI0vgRxW6b/j3uCpZXc3TvmXI5Gc1ONPrOWQnp&#10;LAFGtnaqs42Ez4/VwyMwH9Aq1M6ShAt5WFa3NyUWyp3tlk670LBYYn2BEtoQhoJzX7dk0M/cQDbe&#10;ftxoMMQ4NlyNeI7lRvMsSXJusLNxocWBXlqq+93RSFgdev31vv5u1niYLm/bTdJn6lXK+7vp+QlY&#10;oCn8wXDVj+pQRae9O1rlmY5Z5HlEJcyzRQrsSmTzXADbSxBCpMCrkv9/ovoFAAD//wMAUEsBAi0A&#10;FAAGAAgAAAAhALaDOJL+AAAA4QEAABMAAAAAAAAAAAAAAAAAAAAAAFtDb250ZW50X1R5cGVzXS54&#10;bWxQSwECLQAUAAYACAAAACEAOP0h/9YAAACUAQAACwAAAAAAAAAAAAAAAAAvAQAAX3JlbHMvLnJl&#10;bHNQSwECLQAUAAYACAAAACEAih9cc5UCAACaBQAADgAAAAAAAAAAAAAAAAAuAgAAZHJzL2Uyb0Rv&#10;Yy54bWxQSwECLQAUAAYACAAAACEAyVgyLeEAAAAMAQAADwAAAAAAAAAAAAAAAADvBAAAZHJzL2Rv&#10;d25yZXYueG1sUEsFBgAAAAAEAAQA8wAAAP0FAAAAAA==&#10;" fillcolor="white [3201]" stroked="f" strokeweight=".5pt">
              <v:textbox style="mso-fit-shape-to-text:t">
                <w:txbxContent>
                  <w:p w:rsidR="00883242" w:rsidRPr="00F039F9" w:rsidRDefault="00883242" w:rsidP="00883242">
                    <w:pPr>
                      <w:jc w:val="center"/>
                      <w:rPr>
                        <w:rFonts w:ascii="Arial Narrow" w:hAnsi="Arial Narrow"/>
                        <w:color w:val="F2F2F2" w:themeColor="background1" w:themeShade="F2"/>
                        <w:sz w:val="360"/>
                        <w:szCs w:val="144"/>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pPr>
                    <w:r w:rsidRPr="00F039F9">
                      <w:rPr>
                        <w:rFonts w:ascii="Arial Narrow" w:hAnsi="Arial Narrow"/>
                        <w:color w:val="FFFFFF" w:themeColor="background1"/>
                        <w:sz w:val="360"/>
                        <w:szCs w:val="144"/>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10800000" w14:scaled="0"/>
                          </w14:gra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10222"/>
    <w:multiLevelType w:val="hybridMultilevel"/>
    <w:tmpl w:val="4996626C"/>
    <w:lvl w:ilvl="0" w:tplc="6526C3F8">
      <w:start w:val="1"/>
      <w:numFmt w:val="decimal"/>
      <w:lvlText w:val="%1."/>
      <w:lvlJc w:val="left"/>
      <w:pPr>
        <w:ind w:left="360" w:hanging="360"/>
      </w:pPr>
      <w:rPr>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1A"/>
    <w:rsid w:val="00044FE3"/>
    <w:rsid w:val="00057ED5"/>
    <w:rsid w:val="000B235A"/>
    <w:rsid w:val="000D3433"/>
    <w:rsid w:val="000E7DCA"/>
    <w:rsid w:val="000F4FFC"/>
    <w:rsid w:val="00170E6D"/>
    <w:rsid w:val="001A35E3"/>
    <w:rsid w:val="001E361F"/>
    <w:rsid w:val="002B747B"/>
    <w:rsid w:val="002F3263"/>
    <w:rsid w:val="003B3198"/>
    <w:rsid w:val="003B561D"/>
    <w:rsid w:val="003C58AD"/>
    <w:rsid w:val="003E2018"/>
    <w:rsid w:val="004440E2"/>
    <w:rsid w:val="004461B9"/>
    <w:rsid w:val="004F0A9B"/>
    <w:rsid w:val="00512406"/>
    <w:rsid w:val="0053597C"/>
    <w:rsid w:val="006314E2"/>
    <w:rsid w:val="00653ACF"/>
    <w:rsid w:val="00661D1A"/>
    <w:rsid w:val="00687981"/>
    <w:rsid w:val="006A0E65"/>
    <w:rsid w:val="00701883"/>
    <w:rsid w:val="00711609"/>
    <w:rsid w:val="007274DA"/>
    <w:rsid w:val="00782FBC"/>
    <w:rsid w:val="007A213E"/>
    <w:rsid w:val="0084013D"/>
    <w:rsid w:val="00883242"/>
    <w:rsid w:val="008D161D"/>
    <w:rsid w:val="008E392A"/>
    <w:rsid w:val="0091231B"/>
    <w:rsid w:val="009C57A0"/>
    <w:rsid w:val="00A369E5"/>
    <w:rsid w:val="00B72348"/>
    <w:rsid w:val="00B907AD"/>
    <w:rsid w:val="00B91680"/>
    <w:rsid w:val="00B946C3"/>
    <w:rsid w:val="00BA070F"/>
    <w:rsid w:val="00BA2182"/>
    <w:rsid w:val="00BF7D0E"/>
    <w:rsid w:val="00C50E09"/>
    <w:rsid w:val="00CC79F9"/>
    <w:rsid w:val="00DE63E8"/>
    <w:rsid w:val="00E06E39"/>
    <w:rsid w:val="00EB553D"/>
    <w:rsid w:val="00EE3D71"/>
    <w:rsid w:val="00F039F9"/>
    <w:rsid w:val="00F06D4A"/>
    <w:rsid w:val="00FF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7196976E-6AF8-4B15-8DD3-E1B557AB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F9"/>
  </w:style>
  <w:style w:type="paragraph" w:styleId="Heading1">
    <w:name w:val="heading 1"/>
    <w:basedOn w:val="Normal"/>
    <w:next w:val="Normal"/>
    <w:link w:val="Heading1Char"/>
    <w:uiPriority w:val="9"/>
    <w:qFormat/>
    <w:rsid w:val="00CC79F9"/>
    <w:pPr>
      <w:keepNext/>
      <w:keepLines/>
      <w:spacing w:before="480" w:after="0"/>
      <w:outlineLvl w:val="0"/>
    </w:pPr>
    <w:rPr>
      <w:rFonts w:asciiTheme="majorHAnsi" w:eastAsiaTheme="majorEastAsia" w:hAnsiTheme="majorHAnsi" w:cstheme="majorBidi"/>
      <w:b/>
      <w:bCs/>
      <w:color w:val="8E786F" w:themeColor="accent1" w:themeShade="BF"/>
      <w:sz w:val="28"/>
      <w:szCs w:val="28"/>
    </w:rPr>
  </w:style>
  <w:style w:type="paragraph" w:styleId="Heading2">
    <w:name w:val="heading 2"/>
    <w:basedOn w:val="Normal"/>
    <w:next w:val="Normal"/>
    <w:link w:val="Heading2Char"/>
    <w:uiPriority w:val="9"/>
    <w:unhideWhenUsed/>
    <w:qFormat/>
    <w:rsid w:val="00CC79F9"/>
    <w:pPr>
      <w:keepNext/>
      <w:keepLines/>
      <w:spacing w:before="200" w:after="0"/>
      <w:outlineLvl w:val="1"/>
    </w:pPr>
    <w:rPr>
      <w:rFonts w:asciiTheme="majorHAnsi" w:eastAsiaTheme="majorEastAsia" w:hAnsiTheme="majorHAnsi" w:cstheme="majorBidi"/>
      <w:b/>
      <w:bCs/>
      <w:color w:val="B4A59F" w:themeColor="accent1"/>
      <w:sz w:val="26"/>
      <w:szCs w:val="26"/>
    </w:rPr>
  </w:style>
  <w:style w:type="paragraph" w:styleId="Heading3">
    <w:name w:val="heading 3"/>
    <w:basedOn w:val="Normal"/>
    <w:next w:val="Normal"/>
    <w:link w:val="Heading3Char"/>
    <w:uiPriority w:val="9"/>
    <w:semiHidden/>
    <w:unhideWhenUsed/>
    <w:qFormat/>
    <w:rsid w:val="00CC79F9"/>
    <w:pPr>
      <w:keepNext/>
      <w:keepLines/>
      <w:spacing w:before="200" w:after="0"/>
      <w:outlineLvl w:val="2"/>
    </w:pPr>
    <w:rPr>
      <w:rFonts w:asciiTheme="majorHAnsi" w:eastAsiaTheme="majorEastAsia" w:hAnsiTheme="majorHAnsi" w:cstheme="majorBidi"/>
      <w:b/>
      <w:bCs/>
      <w:color w:val="B4A59F" w:themeColor="accent1"/>
    </w:rPr>
  </w:style>
  <w:style w:type="paragraph" w:styleId="Heading4">
    <w:name w:val="heading 4"/>
    <w:basedOn w:val="Normal"/>
    <w:next w:val="Normal"/>
    <w:link w:val="Heading4Char"/>
    <w:uiPriority w:val="9"/>
    <w:semiHidden/>
    <w:unhideWhenUsed/>
    <w:qFormat/>
    <w:rsid w:val="00CC79F9"/>
    <w:pPr>
      <w:keepNext/>
      <w:keepLines/>
      <w:spacing w:before="200" w:after="0"/>
      <w:outlineLvl w:val="3"/>
    </w:pPr>
    <w:rPr>
      <w:rFonts w:asciiTheme="majorHAnsi" w:eastAsiaTheme="majorEastAsia" w:hAnsiTheme="majorHAnsi" w:cstheme="majorBidi"/>
      <w:b/>
      <w:bCs/>
      <w:i/>
      <w:iCs/>
      <w:color w:val="B4A59F" w:themeColor="accent1"/>
    </w:rPr>
  </w:style>
  <w:style w:type="paragraph" w:styleId="Heading5">
    <w:name w:val="heading 5"/>
    <w:basedOn w:val="Normal"/>
    <w:next w:val="Normal"/>
    <w:link w:val="Heading5Char"/>
    <w:uiPriority w:val="9"/>
    <w:semiHidden/>
    <w:unhideWhenUsed/>
    <w:qFormat/>
    <w:rsid w:val="00CC79F9"/>
    <w:pPr>
      <w:keepNext/>
      <w:keepLines/>
      <w:spacing w:before="200" w:after="0"/>
      <w:outlineLvl w:val="4"/>
    </w:pPr>
    <w:rPr>
      <w:rFonts w:asciiTheme="majorHAnsi" w:eastAsiaTheme="majorEastAsia" w:hAnsiTheme="majorHAnsi" w:cstheme="majorBidi"/>
      <w:color w:val="5E4F4A" w:themeColor="accent1" w:themeShade="7F"/>
    </w:rPr>
  </w:style>
  <w:style w:type="paragraph" w:styleId="Heading6">
    <w:name w:val="heading 6"/>
    <w:basedOn w:val="Normal"/>
    <w:next w:val="Normal"/>
    <w:link w:val="Heading6Char"/>
    <w:uiPriority w:val="9"/>
    <w:semiHidden/>
    <w:unhideWhenUsed/>
    <w:qFormat/>
    <w:rsid w:val="00CC79F9"/>
    <w:pPr>
      <w:keepNext/>
      <w:keepLines/>
      <w:spacing w:before="200" w:after="0"/>
      <w:outlineLvl w:val="5"/>
    </w:pPr>
    <w:rPr>
      <w:rFonts w:asciiTheme="majorHAnsi" w:eastAsiaTheme="majorEastAsia" w:hAnsiTheme="majorHAnsi" w:cstheme="majorBidi"/>
      <w:i/>
      <w:iCs/>
      <w:color w:val="5E4F4A" w:themeColor="accent1" w:themeShade="7F"/>
    </w:rPr>
  </w:style>
  <w:style w:type="paragraph" w:styleId="Heading7">
    <w:name w:val="heading 7"/>
    <w:basedOn w:val="Normal"/>
    <w:next w:val="Normal"/>
    <w:link w:val="Heading7Char"/>
    <w:uiPriority w:val="9"/>
    <w:semiHidden/>
    <w:unhideWhenUsed/>
    <w:qFormat/>
    <w:rsid w:val="00CC79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79F9"/>
    <w:pPr>
      <w:keepNext/>
      <w:keepLines/>
      <w:spacing w:before="200" w:after="0"/>
      <w:outlineLvl w:val="7"/>
    </w:pPr>
    <w:rPr>
      <w:rFonts w:asciiTheme="majorHAnsi" w:eastAsiaTheme="majorEastAsia" w:hAnsiTheme="majorHAnsi" w:cstheme="majorBidi"/>
      <w:color w:val="B4A59F" w:themeColor="accent1"/>
      <w:sz w:val="20"/>
      <w:szCs w:val="20"/>
    </w:rPr>
  </w:style>
  <w:style w:type="paragraph" w:styleId="Heading9">
    <w:name w:val="heading 9"/>
    <w:basedOn w:val="Normal"/>
    <w:next w:val="Normal"/>
    <w:link w:val="Heading9Char"/>
    <w:uiPriority w:val="9"/>
    <w:semiHidden/>
    <w:unhideWhenUsed/>
    <w:qFormat/>
    <w:rsid w:val="00CC79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4E2"/>
    <w:pPr>
      <w:spacing w:after="0" w:line="240" w:lineRule="auto"/>
    </w:pPr>
    <w:tblPr>
      <w:tblStyleRowBandSize w:val="1"/>
      <w:tblBorders>
        <w:insideV w:val="single" w:sz="2" w:space="0" w:color="auto"/>
      </w:tblBorders>
    </w:tblPr>
    <w:trPr>
      <w:cantSplit/>
    </w:trPr>
    <w:tcPr>
      <w:shd w:val="clear" w:color="auto" w:fill="auto"/>
    </w:tcPr>
    <w:tblStylePr w:type="firstRow">
      <w:rPr>
        <w:rFonts w:asciiTheme="minorHAnsi" w:hAnsiTheme="minorHAnsi"/>
        <w:b/>
        <w:color w:val="FFFFFF" w:themeColor="background1"/>
        <w:sz w:val="22"/>
      </w:rPr>
      <w:tblPr/>
      <w:trPr>
        <w:cantSplit w:val="0"/>
      </w:trPr>
      <w:tcPr>
        <w:tcBorders>
          <w:top w:val="nil"/>
          <w:left w:val="nil"/>
          <w:bottom w:val="nil"/>
          <w:right w:val="nil"/>
          <w:insideH w:val="nil"/>
          <w:insideV w:val="single" w:sz="2" w:space="0" w:color="FFFFFF" w:themeColor="background1"/>
          <w:tl2br w:val="nil"/>
          <w:tr2bl w:val="nil"/>
        </w:tcBorders>
        <w:shd w:val="clear" w:color="auto" w:fill="004063" w:themeFill="accent2" w:themeFillShade="80"/>
        <w:vAlign w:val="bottom"/>
      </w:tcPr>
    </w:tblStylePr>
  </w:style>
  <w:style w:type="paragraph" w:styleId="ListParagraph">
    <w:name w:val="List Paragraph"/>
    <w:basedOn w:val="Normal"/>
    <w:uiPriority w:val="34"/>
    <w:qFormat/>
    <w:rsid w:val="00CC79F9"/>
    <w:pPr>
      <w:ind w:left="720"/>
      <w:contextualSpacing/>
    </w:pPr>
  </w:style>
  <w:style w:type="paragraph" w:styleId="BalloonText">
    <w:name w:val="Balloon Text"/>
    <w:basedOn w:val="Normal"/>
    <w:link w:val="BalloonTextChar"/>
    <w:uiPriority w:val="99"/>
    <w:semiHidden/>
    <w:unhideWhenUsed/>
    <w:rsid w:val="006A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65"/>
    <w:rPr>
      <w:rFonts w:ascii="Tahoma" w:hAnsi="Tahoma" w:cs="Tahoma"/>
      <w:sz w:val="16"/>
      <w:szCs w:val="16"/>
    </w:rPr>
  </w:style>
  <w:style w:type="paragraph" w:styleId="Header">
    <w:name w:val="header"/>
    <w:basedOn w:val="Normal"/>
    <w:link w:val="HeaderChar"/>
    <w:uiPriority w:val="99"/>
    <w:unhideWhenUsed/>
    <w:rsid w:val="008D1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61D"/>
  </w:style>
  <w:style w:type="paragraph" w:styleId="Footer">
    <w:name w:val="footer"/>
    <w:basedOn w:val="Normal"/>
    <w:link w:val="FooterChar"/>
    <w:uiPriority w:val="99"/>
    <w:unhideWhenUsed/>
    <w:rsid w:val="008D1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61D"/>
  </w:style>
  <w:style w:type="table" w:styleId="LightList-Accent3">
    <w:name w:val="Light List Accent 3"/>
    <w:basedOn w:val="TableNormal"/>
    <w:uiPriority w:val="61"/>
    <w:rsid w:val="007A213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character" w:customStyle="1" w:styleId="Heading1Char">
    <w:name w:val="Heading 1 Char"/>
    <w:basedOn w:val="DefaultParagraphFont"/>
    <w:link w:val="Heading1"/>
    <w:uiPriority w:val="9"/>
    <w:rsid w:val="00CC79F9"/>
    <w:rPr>
      <w:rFonts w:asciiTheme="majorHAnsi" w:eastAsiaTheme="majorEastAsia" w:hAnsiTheme="majorHAnsi" w:cstheme="majorBidi"/>
      <w:b/>
      <w:bCs/>
      <w:color w:val="8E786F" w:themeColor="accent1" w:themeShade="BF"/>
      <w:sz w:val="28"/>
      <w:szCs w:val="28"/>
    </w:rPr>
  </w:style>
  <w:style w:type="character" w:customStyle="1" w:styleId="Heading2Char">
    <w:name w:val="Heading 2 Char"/>
    <w:basedOn w:val="DefaultParagraphFont"/>
    <w:link w:val="Heading2"/>
    <w:uiPriority w:val="9"/>
    <w:rsid w:val="00CC79F9"/>
    <w:rPr>
      <w:rFonts w:asciiTheme="majorHAnsi" w:eastAsiaTheme="majorEastAsia" w:hAnsiTheme="majorHAnsi" w:cstheme="majorBidi"/>
      <w:b/>
      <w:bCs/>
      <w:color w:val="B4A59F" w:themeColor="accent1"/>
      <w:sz w:val="26"/>
      <w:szCs w:val="26"/>
    </w:rPr>
  </w:style>
  <w:style w:type="character" w:customStyle="1" w:styleId="Heading3Char">
    <w:name w:val="Heading 3 Char"/>
    <w:basedOn w:val="DefaultParagraphFont"/>
    <w:link w:val="Heading3"/>
    <w:uiPriority w:val="9"/>
    <w:semiHidden/>
    <w:rsid w:val="00CC79F9"/>
    <w:rPr>
      <w:rFonts w:asciiTheme="majorHAnsi" w:eastAsiaTheme="majorEastAsia" w:hAnsiTheme="majorHAnsi" w:cstheme="majorBidi"/>
      <w:b/>
      <w:bCs/>
      <w:color w:val="B4A59F" w:themeColor="accent1"/>
    </w:rPr>
  </w:style>
  <w:style w:type="character" w:customStyle="1" w:styleId="Heading4Char">
    <w:name w:val="Heading 4 Char"/>
    <w:basedOn w:val="DefaultParagraphFont"/>
    <w:link w:val="Heading4"/>
    <w:uiPriority w:val="9"/>
    <w:semiHidden/>
    <w:rsid w:val="00CC79F9"/>
    <w:rPr>
      <w:rFonts w:asciiTheme="majorHAnsi" w:eastAsiaTheme="majorEastAsia" w:hAnsiTheme="majorHAnsi" w:cstheme="majorBidi"/>
      <w:b/>
      <w:bCs/>
      <w:i/>
      <w:iCs/>
      <w:color w:val="B4A59F" w:themeColor="accent1"/>
    </w:rPr>
  </w:style>
  <w:style w:type="character" w:customStyle="1" w:styleId="Heading5Char">
    <w:name w:val="Heading 5 Char"/>
    <w:basedOn w:val="DefaultParagraphFont"/>
    <w:link w:val="Heading5"/>
    <w:uiPriority w:val="9"/>
    <w:semiHidden/>
    <w:rsid w:val="00CC79F9"/>
    <w:rPr>
      <w:rFonts w:asciiTheme="majorHAnsi" w:eastAsiaTheme="majorEastAsia" w:hAnsiTheme="majorHAnsi" w:cstheme="majorBidi"/>
      <w:color w:val="5E4F4A" w:themeColor="accent1" w:themeShade="7F"/>
    </w:rPr>
  </w:style>
  <w:style w:type="character" w:customStyle="1" w:styleId="Heading6Char">
    <w:name w:val="Heading 6 Char"/>
    <w:basedOn w:val="DefaultParagraphFont"/>
    <w:link w:val="Heading6"/>
    <w:uiPriority w:val="9"/>
    <w:semiHidden/>
    <w:rsid w:val="00CC79F9"/>
    <w:rPr>
      <w:rFonts w:asciiTheme="majorHAnsi" w:eastAsiaTheme="majorEastAsia" w:hAnsiTheme="majorHAnsi" w:cstheme="majorBidi"/>
      <w:i/>
      <w:iCs/>
      <w:color w:val="5E4F4A" w:themeColor="accent1" w:themeShade="7F"/>
    </w:rPr>
  </w:style>
  <w:style w:type="character" w:customStyle="1" w:styleId="Heading7Char">
    <w:name w:val="Heading 7 Char"/>
    <w:basedOn w:val="DefaultParagraphFont"/>
    <w:link w:val="Heading7"/>
    <w:uiPriority w:val="9"/>
    <w:semiHidden/>
    <w:rsid w:val="00CC79F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9F9"/>
    <w:rPr>
      <w:rFonts w:asciiTheme="majorHAnsi" w:eastAsiaTheme="majorEastAsia" w:hAnsiTheme="majorHAnsi" w:cstheme="majorBidi"/>
      <w:color w:val="B4A59F" w:themeColor="accent1"/>
      <w:sz w:val="20"/>
      <w:szCs w:val="20"/>
    </w:rPr>
  </w:style>
  <w:style w:type="character" w:customStyle="1" w:styleId="Heading9Char">
    <w:name w:val="Heading 9 Char"/>
    <w:basedOn w:val="DefaultParagraphFont"/>
    <w:link w:val="Heading9"/>
    <w:uiPriority w:val="9"/>
    <w:semiHidden/>
    <w:rsid w:val="00CC79F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C79F9"/>
    <w:pPr>
      <w:spacing w:line="240" w:lineRule="auto"/>
    </w:pPr>
    <w:rPr>
      <w:b/>
      <w:bCs/>
      <w:color w:val="B4A59F" w:themeColor="accent1"/>
      <w:sz w:val="18"/>
      <w:szCs w:val="18"/>
    </w:rPr>
  </w:style>
  <w:style w:type="paragraph" w:styleId="Title">
    <w:name w:val="Title"/>
    <w:basedOn w:val="Normal"/>
    <w:next w:val="Normal"/>
    <w:link w:val="TitleChar"/>
    <w:uiPriority w:val="10"/>
    <w:qFormat/>
    <w:rsid w:val="00CC79F9"/>
    <w:pP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C79F9"/>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CC79F9"/>
    <w:pPr>
      <w:numPr>
        <w:ilvl w:val="1"/>
      </w:numPr>
    </w:pPr>
    <w:rPr>
      <w:rFonts w:asciiTheme="majorHAnsi" w:eastAsiaTheme="majorEastAsia" w:hAnsiTheme="majorHAnsi" w:cstheme="majorBidi"/>
      <w:i/>
      <w:iCs/>
      <w:color w:val="B4A59F" w:themeColor="accent1"/>
      <w:spacing w:val="15"/>
      <w:sz w:val="24"/>
      <w:szCs w:val="24"/>
    </w:rPr>
  </w:style>
  <w:style w:type="character" w:customStyle="1" w:styleId="SubtitleChar">
    <w:name w:val="Subtitle Char"/>
    <w:basedOn w:val="DefaultParagraphFont"/>
    <w:link w:val="Subtitle"/>
    <w:uiPriority w:val="11"/>
    <w:rsid w:val="00CC79F9"/>
    <w:rPr>
      <w:rFonts w:asciiTheme="majorHAnsi" w:eastAsiaTheme="majorEastAsia" w:hAnsiTheme="majorHAnsi" w:cstheme="majorBidi"/>
      <w:i/>
      <w:iCs/>
      <w:color w:val="B4A59F" w:themeColor="accent1"/>
      <w:spacing w:val="15"/>
      <w:sz w:val="24"/>
      <w:szCs w:val="24"/>
    </w:rPr>
  </w:style>
  <w:style w:type="character" w:styleId="Strong">
    <w:name w:val="Strong"/>
    <w:basedOn w:val="DefaultParagraphFont"/>
    <w:uiPriority w:val="22"/>
    <w:qFormat/>
    <w:rsid w:val="00CC79F9"/>
    <w:rPr>
      <w:b/>
      <w:bCs/>
    </w:rPr>
  </w:style>
  <w:style w:type="character" w:styleId="Emphasis">
    <w:name w:val="Emphasis"/>
    <w:basedOn w:val="DefaultParagraphFont"/>
    <w:uiPriority w:val="20"/>
    <w:qFormat/>
    <w:rsid w:val="00CC79F9"/>
    <w:rPr>
      <w:i/>
      <w:iCs/>
    </w:rPr>
  </w:style>
  <w:style w:type="paragraph" w:styleId="NoSpacing">
    <w:name w:val="No Spacing"/>
    <w:link w:val="NoSpacingChar"/>
    <w:uiPriority w:val="1"/>
    <w:qFormat/>
    <w:rsid w:val="00CC79F9"/>
    <w:pPr>
      <w:spacing w:after="0" w:line="240" w:lineRule="auto"/>
    </w:pPr>
  </w:style>
  <w:style w:type="character" w:customStyle="1" w:styleId="NoSpacingChar">
    <w:name w:val="No Spacing Char"/>
    <w:basedOn w:val="DefaultParagraphFont"/>
    <w:link w:val="NoSpacing"/>
    <w:uiPriority w:val="1"/>
    <w:rsid w:val="007A213E"/>
  </w:style>
  <w:style w:type="paragraph" w:styleId="Quote">
    <w:name w:val="Quote"/>
    <w:basedOn w:val="Normal"/>
    <w:next w:val="Normal"/>
    <w:link w:val="QuoteChar"/>
    <w:uiPriority w:val="29"/>
    <w:qFormat/>
    <w:rsid w:val="00CC79F9"/>
    <w:rPr>
      <w:i/>
      <w:iCs/>
      <w:color w:val="000000" w:themeColor="text1"/>
    </w:rPr>
  </w:style>
  <w:style w:type="character" w:customStyle="1" w:styleId="QuoteChar">
    <w:name w:val="Quote Char"/>
    <w:basedOn w:val="DefaultParagraphFont"/>
    <w:link w:val="Quote"/>
    <w:uiPriority w:val="29"/>
    <w:rsid w:val="00CC79F9"/>
    <w:rPr>
      <w:i/>
      <w:iCs/>
      <w:color w:val="000000" w:themeColor="text1"/>
    </w:rPr>
  </w:style>
  <w:style w:type="paragraph" w:styleId="IntenseQuote">
    <w:name w:val="Intense Quote"/>
    <w:basedOn w:val="Normal"/>
    <w:next w:val="Normal"/>
    <w:link w:val="IntenseQuoteChar"/>
    <w:uiPriority w:val="30"/>
    <w:qFormat/>
    <w:rsid w:val="00CC79F9"/>
    <w:pPr>
      <w:pBdr>
        <w:bottom w:val="single" w:sz="4" w:space="4" w:color="B4A59F" w:themeColor="accent1"/>
      </w:pBdr>
      <w:spacing w:before="200" w:after="280"/>
      <w:ind w:left="936" w:right="936"/>
    </w:pPr>
    <w:rPr>
      <w:b/>
      <w:bCs/>
      <w:i/>
      <w:iCs/>
      <w:color w:val="B4A59F" w:themeColor="accent1"/>
    </w:rPr>
  </w:style>
  <w:style w:type="character" w:customStyle="1" w:styleId="IntenseQuoteChar">
    <w:name w:val="Intense Quote Char"/>
    <w:basedOn w:val="DefaultParagraphFont"/>
    <w:link w:val="IntenseQuote"/>
    <w:uiPriority w:val="30"/>
    <w:rsid w:val="00CC79F9"/>
    <w:rPr>
      <w:b/>
      <w:bCs/>
      <w:i/>
      <w:iCs/>
      <w:color w:val="B4A59F" w:themeColor="accent1"/>
    </w:rPr>
  </w:style>
  <w:style w:type="character" w:styleId="SubtleEmphasis">
    <w:name w:val="Subtle Emphasis"/>
    <w:basedOn w:val="DefaultParagraphFont"/>
    <w:uiPriority w:val="19"/>
    <w:qFormat/>
    <w:rsid w:val="00CC79F9"/>
    <w:rPr>
      <w:i/>
      <w:iCs/>
      <w:color w:val="808080" w:themeColor="text1" w:themeTint="7F"/>
    </w:rPr>
  </w:style>
  <w:style w:type="character" w:styleId="IntenseEmphasis">
    <w:name w:val="Intense Emphasis"/>
    <w:basedOn w:val="DefaultParagraphFont"/>
    <w:uiPriority w:val="21"/>
    <w:qFormat/>
    <w:rsid w:val="00CC79F9"/>
    <w:rPr>
      <w:b/>
      <w:bCs/>
      <w:i/>
      <w:iCs/>
      <w:color w:val="B4A59F" w:themeColor="accent1"/>
    </w:rPr>
  </w:style>
  <w:style w:type="character" w:styleId="SubtleReference">
    <w:name w:val="Subtle Reference"/>
    <w:basedOn w:val="DefaultParagraphFont"/>
    <w:uiPriority w:val="31"/>
    <w:qFormat/>
    <w:rsid w:val="00CC79F9"/>
    <w:rPr>
      <w:smallCaps/>
      <w:color w:val="0081C6" w:themeColor="accent2"/>
      <w:u w:val="single"/>
    </w:rPr>
  </w:style>
  <w:style w:type="character" w:styleId="IntenseReference">
    <w:name w:val="Intense Reference"/>
    <w:basedOn w:val="DefaultParagraphFont"/>
    <w:uiPriority w:val="32"/>
    <w:qFormat/>
    <w:rsid w:val="00CC79F9"/>
    <w:rPr>
      <w:b/>
      <w:bCs/>
      <w:smallCaps/>
      <w:color w:val="0081C6" w:themeColor="accent2"/>
      <w:spacing w:val="5"/>
      <w:u w:val="single"/>
    </w:rPr>
  </w:style>
  <w:style w:type="character" w:styleId="BookTitle">
    <w:name w:val="Book Title"/>
    <w:basedOn w:val="DefaultParagraphFont"/>
    <w:uiPriority w:val="33"/>
    <w:qFormat/>
    <w:rsid w:val="00CC79F9"/>
    <w:rPr>
      <w:b/>
      <w:bCs/>
      <w:smallCaps/>
      <w:spacing w:val="5"/>
    </w:rPr>
  </w:style>
  <w:style w:type="paragraph" w:styleId="TOCHeading">
    <w:name w:val="TOC Heading"/>
    <w:basedOn w:val="Heading1"/>
    <w:next w:val="Normal"/>
    <w:uiPriority w:val="39"/>
    <w:semiHidden/>
    <w:unhideWhenUsed/>
    <w:qFormat/>
    <w:rsid w:val="00CC79F9"/>
    <w:pPr>
      <w:outlineLvl w:val="9"/>
    </w:pPr>
  </w:style>
  <w:style w:type="table" w:styleId="ColorfulGrid-Accent1">
    <w:name w:val="Colorful Grid Accent 1"/>
    <w:aliases w:val="Rose Standards"/>
    <w:basedOn w:val="TableNormal"/>
    <w:uiPriority w:val="73"/>
    <w:rsid w:val="00CC79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CEB" w:themeFill="accent1" w:themeFillTint="33"/>
    </w:tcPr>
    <w:tblStylePr w:type="firstRow">
      <w:pPr>
        <w:jc w:val="left"/>
      </w:pPr>
      <w:rPr>
        <w:rFonts w:asciiTheme="minorHAnsi" w:hAnsiTheme="minorHAnsi"/>
        <w:b/>
        <w:bCs/>
        <w:color w:val="FFFFFF" w:themeColor="background1"/>
        <w:sz w:val="24"/>
      </w:rPr>
    </w:tblStylePr>
    <w:tblStylePr w:type="lastRow">
      <w:rPr>
        <w:b/>
        <w:bCs/>
        <w:color w:val="000000" w:themeColor="text1"/>
      </w:rPr>
      <w:tblPr/>
      <w:tcPr>
        <w:shd w:val="clear" w:color="auto" w:fill="E1DAD8" w:themeFill="accent1" w:themeFillTint="66"/>
      </w:tcPr>
    </w:tblStylePr>
    <w:tblStylePr w:type="firstCol">
      <w:pPr>
        <w:jc w:val="left"/>
      </w:pPr>
      <w:rPr>
        <w:rFonts w:asciiTheme="minorHAnsi" w:hAnsiTheme="minorHAnsi"/>
        <w:color w:val="FFFFFF" w:themeColor="background1"/>
        <w:sz w:val="20"/>
      </w:rPr>
      <w:tblPr/>
      <w:tcPr>
        <w:tcBorders>
          <w:insideV w:val="single" w:sz="4" w:space="0" w:color="FFFFFF" w:themeColor="background1"/>
        </w:tcBorders>
        <w:shd w:val="clear" w:color="auto" w:fill="476480" w:themeFill="accent6" w:themeFillShade="BF"/>
      </w:tcPr>
    </w:tblStylePr>
    <w:tblStylePr w:type="lastCol">
      <w:rPr>
        <w:color w:val="FFFFFF" w:themeColor="background1"/>
      </w:rPr>
      <w:tblPr/>
      <w:tcPr>
        <w:shd w:val="clear" w:color="auto" w:fill="8E786F" w:themeFill="accent1" w:themeFillShade="BF"/>
      </w:tcPr>
    </w:tblStylePr>
    <w:tblStylePr w:type="band1Vert">
      <w:tblPr/>
      <w:tcPr>
        <w:shd w:val="clear" w:color="auto" w:fill="D9D2CF" w:themeFill="accent1" w:themeFillTint="7F"/>
      </w:tcPr>
    </w:tblStylePr>
    <w:tblStylePr w:type="band1Horz">
      <w:tblPr/>
      <w:tcPr>
        <w:shd w:val="clear" w:color="auto" w:fill="D9D2CF" w:themeFill="accent1" w:themeFillTint="7F"/>
      </w:tcPr>
    </w:tblStylePr>
  </w:style>
  <w:style w:type="character" w:styleId="Hyperlink">
    <w:name w:val="Hyperlink"/>
    <w:basedOn w:val="DefaultParagraphFont"/>
    <w:uiPriority w:val="99"/>
    <w:unhideWhenUsed/>
    <w:rsid w:val="003C58AD"/>
    <w:rPr>
      <w:color w:val="008BB0" w:themeColor="hyperlink"/>
      <w:u w:val="single"/>
    </w:rPr>
  </w:style>
  <w:style w:type="paragraph" w:customStyle="1" w:styleId="Pa2">
    <w:name w:val="Pa2"/>
    <w:basedOn w:val="Normal"/>
    <w:uiPriority w:val="99"/>
    <w:rsid w:val="003C58AD"/>
    <w:pPr>
      <w:autoSpaceDE w:val="0"/>
      <w:autoSpaceDN w:val="0"/>
      <w:spacing w:after="0" w:line="241" w:lineRule="atLeast"/>
    </w:pPr>
    <w:rPr>
      <w:rFonts w:ascii="Times" w:eastAsia="Arial"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sd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KSDE">
      <a:dk1>
        <a:srgbClr val="000000"/>
      </a:dk1>
      <a:lt1>
        <a:srgbClr val="FFFFFF"/>
      </a:lt1>
      <a:dk2>
        <a:srgbClr val="000000"/>
      </a:dk2>
      <a:lt2>
        <a:srgbClr val="FFEEC8"/>
      </a:lt2>
      <a:accent1>
        <a:srgbClr val="B4A59F"/>
      </a:accent1>
      <a:accent2>
        <a:srgbClr val="0081C6"/>
      </a:accent2>
      <a:accent3>
        <a:srgbClr val="FFFFFF"/>
      </a:accent3>
      <a:accent4>
        <a:srgbClr val="E5A04D"/>
      </a:accent4>
      <a:accent5>
        <a:srgbClr val="BC9B6A"/>
      </a:accent5>
      <a:accent6>
        <a:srgbClr val="6386A8"/>
      </a:accent6>
      <a:hlink>
        <a:srgbClr val="008BB0"/>
      </a:hlink>
      <a:folHlink>
        <a:srgbClr val="7778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SUEJ</cp:lastModifiedBy>
  <cp:revision>2</cp:revision>
  <cp:lastPrinted>2014-04-07T20:59:00Z</cp:lastPrinted>
  <dcterms:created xsi:type="dcterms:W3CDTF">2015-06-02T14:51:00Z</dcterms:created>
  <dcterms:modified xsi:type="dcterms:W3CDTF">2015-06-02T14:51:00Z</dcterms:modified>
</cp:coreProperties>
</file>